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8A67" w14:textId="7D27911E" w:rsidR="00BB2696" w:rsidRPr="00E75CD6" w:rsidRDefault="00BB2696" w:rsidP="00E75CD6">
      <w:pPr>
        <w:pStyle w:val="Title"/>
        <w:jc w:val="center"/>
      </w:pPr>
      <w:r w:rsidRPr="00E75CD6">
        <w:t>BMC2-SHOCK- AMI-CS Best Practices</w:t>
      </w:r>
    </w:p>
    <w:p w14:paraId="53A72808" w14:textId="01828934" w:rsidR="00B707DC" w:rsidRPr="00E75CD6" w:rsidRDefault="00B707DC" w:rsidP="0007124D">
      <w:pPr>
        <w:pStyle w:val="Subtitle"/>
        <w:jc w:val="center"/>
        <w:rPr>
          <w:color w:val="2B398B"/>
        </w:rPr>
      </w:pPr>
      <w:r w:rsidRPr="00E75CD6">
        <w:rPr>
          <w:color w:val="2B398B"/>
        </w:rPr>
        <w:t>Version – August 17, 2026</w:t>
      </w:r>
    </w:p>
    <w:p w14:paraId="15E28629" w14:textId="77777777" w:rsidR="00BB2696" w:rsidRPr="00172186" w:rsidRDefault="00BB2696" w:rsidP="00BB2696">
      <w:pPr>
        <w:rPr>
          <w:rFonts w:ascii="Arial" w:hAnsi="Arial" w:cs="Arial"/>
        </w:rPr>
      </w:pPr>
      <w:r w:rsidRPr="00172186">
        <w:rPr>
          <w:rFonts w:ascii="Arial" w:hAnsi="Arial" w:cs="Arial"/>
        </w:rPr>
        <w:t>Acute myocardial infarction cardiogenic shock (AMI-CS) is associated with significant morbidity and mortality. (Moller et al.) Early recognition and management are cornerstones of AMI-CS care- including hemodynamic stabilization with medical interventions, early revascularization, and use of temporary mechanical circulatory support (</w:t>
      </w:r>
      <w:proofErr w:type="spellStart"/>
      <w:r w:rsidRPr="00172186">
        <w:rPr>
          <w:rFonts w:ascii="Arial" w:hAnsi="Arial" w:cs="Arial"/>
        </w:rPr>
        <w:t>tMCS</w:t>
      </w:r>
      <w:proofErr w:type="spellEnd"/>
      <w:r w:rsidRPr="00172186">
        <w:rPr>
          <w:rFonts w:ascii="Arial" w:hAnsi="Arial" w:cs="Arial"/>
        </w:rPr>
        <w:t xml:space="preserve">) in select patients. </w:t>
      </w:r>
    </w:p>
    <w:p w14:paraId="2E41865F" w14:textId="5959730F" w:rsidR="00BB2696" w:rsidRPr="00172186" w:rsidRDefault="00BB2696" w:rsidP="00BB2696">
      <w:pPr>
        <w:rPr>
          <w:rFonts w:ascii="Arial" w:hAnsi="Arial" w:cs="Arial"/>
        </w:rPr>
      </w:pPr>
      <w:r w:rsidRPr="00172186">
        <w:rPr>
          <w:rFonts w:ascii="Arial" w:hAnsi="Arial" w:cs="Arial"/>
        </w:rPr>
        <w:t xml:space="preserve">The recent </w:t>
      </w:r>
      <w:proofErr w:type="spellStart"/>
      <w:r w:rsidRPr="00172186">
        <w:rPr>
          <w:rFonts w:ascii="Arial" w:hAnsi="Arial" w:cs="Arial"/>
        </w:rPr>
        <w:t>D</w:t>
      </w:r>
      <w:r w:rsidR="00A27D35" w:rsidRPr="00172186">
        <w:rPr>
          <w:rFonts w:ascii="Arial" w:hAnsi="Arial" w:cs="Arial"/>
        </w:rPr>
        <w:t>anGer</w:t>
      </w:r>
      <w:proofErr w:type="spellEnd"/>
      <w:r w:rsidRPr="00172186">
        <w:rPr>
          <w:rFonts w:ascii="Arial" w:hAnsi="Arial" w:cs="Arial"/>
        </w:rPr>
        <w:t>-SHOCK trial demonstrated the value of early percutaneous left ventricular assist device (</w:t>
      </w:r>
      <w:proofErr w:type="spellStart"/>
      <w:r w:rsidRPr="00172186">
        <w:rPr>
          <w:rFonts w:ascii="Arial" w:hAnsi="Arial" w:cs="Arial"/>
        </w:rPr>
        <w:t>pVAD</w:t>
      </w:r>
      <w:proofErr w:type="spellEnd"/>
      <w:r w:rsidRPr="00172186">
        <w:rPr>
          <w:rFonts w:ascii="Arial" w:hAnsi="Arial" w:cs="Arial"/>
        </w:rPr>
        <w:t xml:space="preserve">) placement with improved clinical outcomes (death at 180 days). However, </w:t>
      </w:r>
      <w:proofErr w:type="spellStart"/>
      <w:r w:rsidRPr="00172186">
        <w:rPr>
          <w:rFonts w:ascii="Arial" w:hAnsi="Arial" w:cs="Arial"/>
        </w:rPr>
        <w:t>pVAD</w:t>
      </w:r>
      <w:proofErr w:type="spellEnd"/>
      <w:r w:rsidRPr="00172186">
        <w:rPr>
          <w:rFonts w:ascii="Arial" w:hAnsi="Arial" w:cs="Arial"/>
        </w:rPr>
        <w:t xml:space="preserve"> was also associated with significant complications, including bleeding, vascular injury, bloodstream infections, and renal replacement therapy. (Moller et al.) In a real-world assessment of current clinical practice, there is significant variation in the care of AMI-CS patients with variable utilization of pulmonary arterial catheters, vasoactive agents and </w:t>
      </w:r>
      <w:proofErr w:type="spellStart"/>
      <w:r w:rsidRPr="00172186">
        <w:rPr>
          <w:rFonts w:ascii="Arial" w:hAnsi="Arial" w:cs="Arial"/>
        </w:rPr>
        <w:t>tMCS</w:t>
      </w:r>
      <w:proofErr w:type="spellEnd"/>
      <w:r w:rsidRPr="00172186">
        <w:rPr>
          <w:rFonts w:ascii="Arial" w:hAnsi="Arial" w:cs="Arial"/>
        </w:rPr>
        <w:t xml:space="preserve">. (Cantey et al.) This study also identified that most interventional cardiologists, and thus care teams, had limited yearly experience treating patients with AMI-CS (average &lt;1 case per year). Therefore, there is a need for improved standardization of care through the identification of best practices and protocol-based care. </w:t>
      </w:r>
    </w:p>
    <w:p w14:paraId="22CCBC30" w14:textId="643E1B76" w:rsidR="00BB2696" w:rsidRPr="00172186" w:rsidRDefault="00BB2696" w:rsidP="00BB2696">
      <w:pPr>
        <w:rPr>
          <w:rFonts w:ascii="Arial" w:hAnsi="Arial" w:cs="Arial"/>
        </w:rPr>
      </w:pPr>
      <w:r w:rsidRPr="00172186">
        <w:rPr>
          <w:rFonts w:ascii="Arial" w:hAnsi="Arial" w:cs="Arial"/>
        </w:rPr>
        <w:t xml:space="preserve">Early recognition is vital to the successful treatment of AMI-CS. The timing of CS onset following AMI is variable, but </w:t>
      </w:r>
      <w:r w:rsidR="00BA248A" w:rsidRPr="00172186">
        <w:rPr>
          <w:rFonts w:ascii="Arial" w:hAnsi="Arial" w:cs="Arial"/>
        </w:rPr>
        <w:t>the SHOCK trial registry</w:t>
      </w:r>
      <w:r w:rsidRPr="00172186">
        <w:rPr>
          <w:rFonts w:ascii="Arial" w:hAnsi="Arial" w:cs="Arial"/>
        </w:rPr>
        <w:t xml:space="preserve"> showed the median time from AMI symptoms to CS onset of 6 hrs. (Webb et al.) A comprehensive evaluation of non-invasive datapoints is important to the identification of AMI-CS, including vital signs (e.g. heart rate, blood pressure, oxygen saturation, use of vasoactive agents), echocardiographic factors (e.g., LV and RV function, valvular abnormalities, non-invasive filling pressures, mechanical complications), physical exam (e.g., mental status, peripheral perfusion, urine output), and laboratory evaluation (e.g., lactate, liver function tests, blood gases, basic metabolic panel). (Sinha et al.) Early invasive hemodynamics (e.g., pulmonary arterial catheter and/or left ventricular end-diastolic pressure assessment) is also important, as there is evidence that it may lead to earlier and more accurate identification of CS phenotyping to tailor medical and device-based therapies, with observational data indicating early PA catheter usage associated with improved mortality. (Tehrani et al., Kadosh et al., Garan et al.) </w:t>
      </w:r>
    </w:p>
    <w:p w14:paraId="235C3077" w14:textId="77777777" w:rsidR="00BB2696" w:rsidRPr="00172186" w:rsidRDefault="00BB2696" w:rsidP="00BB2696">
      <w:pPr>
        <w:rPr>
          <w:rFonts w:ascii="Arial" w:hAnsi="Arial" w:cs="Arial"/>
        </w:rPr>
      </w:pPr>
      <w:r w:rsidRPr="00172186">
        <w:rPr>
          <w:rFonts w:ascii="Arial" w:hAnsi="Arial" w:cs="Arial"/>
        </w:rPr>
        <w:t xml:space="preserve">The BMC2 Shock workgroup is a multidisciplinary group of physicians involved in the care of patients with AMI-CS, including emergency room physicians, cardiac intensivists, heart failure cardiologists, and interventional cardiologists.   The following document describes the best practices for the fundamental aspects of AMI-CS care- early recognition, early escalation, and early de-escalation.  </w:t>
      </w:r>
    </w:p>
    <w:p w14:paraId="2C43E7BA" w14:textId="77777777" w:rsidR="00BB2696" w:rsidRPr="00172186" w:rsidRDefault="00BB2696" w:rsidP="00BB2696">
      <w:pPr>
        <w:rPr>
          <w:rFonts w:ascii="Arial" w:hAnsi="Arial" w:cs="Arial"/>
        </w:rPr>
      </w:pPr>
    </w:p>
    <w:p w14:paraId="3DD1FD7E" w14:textId="77777777" w:rsidR="00BB2696" w:rsidRPr="00172186" w:rsidRDefault="00BB2696" w:rsidP="00BB2696">
      <w:pPr>
        <w:rPr>
          <w:rFonts w:ascii="Arial" w:hAnsi="Arial" w:cs="Arial"/>
        </w:rPr>
      </w:pPr>
    </w:p>
    <w:p w14:paraId="7FF36E41" w14:textId="77777777" w:rsidR="00BB2696" w:rsidRPr="00172186" w:rsidRDefault="00BB2696" w:rsidP="00BB2696">
      <w:pPr>
        <w:rPr>
          <w:rFonts w:ascii="Arial" w:hAnsi="Arial" w:cs="Arial"/>
        </w:rPr>
      </w:pPr>
    </w:p>
    <w:p w14:paraId="146C5850" w14:textId="77777777" w:rsidR="00BB2696" w:rsidRPr="00172186" w:rsidRDefault="00BB2696" w:rsidP="00BB2696">
      <w:pPr>
        <w:rPr>
          <w:rFonts w:ascii="Arial" w:hAnsi="Arial" w:cs="Arial"/>
        </w:rPr>
      </w:pPr>
    </w:p>
    <w:p w14:paraId="4AC6ED5E" w14:textId="77777777" w:rsidR="00BB2696" w:rsidRPr="00B707DC" w:rsidRDefault="00BB2696" w:rsidP="00BB2696">
      <w:pPr>
        <w:rPr>
          <w:rFonts w:ascii="Arial" w:hAnsi="Arial" w:cs="Arial"/>
          <w:u w:val="single"/>
        </w:rPr>
      </w:pPr>
    </w:p>
    <w:p w14:paraId="575CDD93" w14:textId="77777777" w:rsidR="00BB2696" w:rsidRPr="00B707DC" w:rsidRDefault="00BB2696" w:rsidP="00BB2696">
      <w:pPr>
        <w:rPr>
          <w:rFonts w:ascii="Arial" w:hAnsi="Arial" w:cs="Arial"/>
          <w:u w:val="single"/>
        </w:rPr>
      </w:pPr>
    </w:p>
    <w:p w14:paraId="22BC1375" w14:textId="77777777" w:rsidR="00BB2696" w:rsidRPr="00271865" w:rsidRDefault="00BB2696" w:rsidP="0007124D">
      <w:pPr>
        <w:pStyle w:val="Heading1"/>
      </w:pPr>
      <w:r w:rsidRPr="00271865">
        <w:t xml:space="preserve">Best Practices: </w:t>
      </w:r>
    </w:p>
    <w:p w14:paraId="24433B42" w14:textId="77777777" w:rsidR="00BB2696" w:rsidRPr="0007124D" w:rsidRDefault="00BB2696" w:rsidP="0007124D">
      <w:pPr>
        <w:pStyle w:val="Heading2"/>
      </w:pPr>
      <w:r w:rsidRPr="0007124D">
        <w:t>Early recognition</w:t>
      </w:r>
    </w:p>
    <w:p w14:paraId="42451EF4" w14:textId="77777777" w:rsidR="00BB2696" w:rsidRPr="00172186" w:rsidRDefault="00BB2696" w:rsidP="00BB2696">
      <w:pPr>
        <w:pStyle w:val="ListParagraph"/>
        <w:numPr>
          <w:ilvl w:val="0"/>
          <w:numId w:val="2"/>
        </w:numPr>
        <w:spacing w:line="278" w:lineRule="auto"/>
        <w:rPr>
          <w:rFonts w:ascii="Arial" w:hAnsi="Arial" w:cs="Arial"/>
        </w:rPr>
      </w:pPr>
      <w:r w:rsidRPr="00172186">
        <w:rPr>
          <w:rFonts w:ascii="Arial" w:hAnsi="Arial" w:cs="Arial"/>
        </w:rPr>
        <w:t>All providers involved in the management of AMI should maintain a high clinical suspicion for AMI-CS, taking into consideration patient-specific clinical, hemodynamic, and metabolic factors.</w:t>
      </w:r>
    </w:p>
    <w:p w14:paraId="70C15785" w14:textId="37023FC2" w:rsidR="00BB2696" w:rsidRPr="00172186" w:rsidRDefault="00BB2696" w:rsidP="00BB2696">
      <w:pPr>
        <w:pStyle w:val="ListParagraph"/>
        <w:numPr>
          <w:ilvl w:val="0"/>
          <w:numId w:val="2"/>
        </w:numPr>
        <w:spacing w:line="278" w:lineRule="auto"/>
        <w:rPr>
          <w:rFonts w:ascii="Arial" w:hAnsi="Arial" w:cs="Arial"/>
        </w:rPr>
      </w:pPr>
      <w:r w:rsidRPr="00172186">
        <w:rPr>
          <w:rFonts w:ascii="Arial" w:hAnsi="Arial" w:cs="Arial"/>
        </w:rPr>
        <w:t xml:space="preserve">A lactate should be </w:t>
      </w:r>
      <w:r w:rsidR="00A27D35" w:rsidRPr="00172186">
        <w:rPr>
          <w:rFonts w:ascii="Arial" w:hAnsi="Arial" w:cs="Arial"/>
        </w:rPr>
        <w:t>measured</w:t>
      </w:r>
      <w:r w:rsidRPr="00172186">
        <w:rPr>
          <w:rFonts w:ascii="Arial" w:hAnsi="Arial" w:cs="Arial"/>
        </w:rPr>
        <w:t xml:space="preserve"> as part of the initial evaluation of all patients presenting with NSTEMI and STEMI.  For patients with elevated lactate levels, serial measurements (every 2-3 hours) should be obtained until normalization.</w:t>
      </w:r>
    </w:p>
    <w:p w14:paraId="44478433" w14:textId="77777777" w:rsidR="00BB2696" w:rsidRPr="00172186" w:rsidRDefault="00BB2696" w:rsidP="00BB2696">
      <w:pPr>
        <w:pStyle w:val="ListParagraph"/>
        <w:numPr>
          <w:ilvl w:val="0"/>
          <w:numId w:val="2"/>
        </w:numPr>
        <w:spacing w:line="278" w:lineRule="auto"/>
        <w:rPr>
          <w:rFonts w:ascii="Arial" w:hAnsi="Arial" w:cs="Arial"/>
        </w:rPr>
      </w:pPr>
      <w:r w:rsidRPr="00172186">
        <w:rPr>
          <w:rFonts w:ascii="Arial" w:hAnsi="Arial" w:cs="Arial"/>
        </w:rPr>
        <w:t>Early use of hemodynamic profiling is necessary to risk-stratify, phenotype, and guide treatment strategy for AMI-CS.  While pulmonary arterial catheterization is preferred for complete hemodynamic profiling, central venous catheter placement to obtain central venous pressures and mixed venous saturation, or echocardiography, may be considered based on local institutional experience.</w:t>
      </w:r>
    </w:p>
    <w:p w14:paraId="06A76E2D" w14:textId="77777777" w:rsidR="00BB2696" w:rsidRPr="00172186" w:rsidRDefault="00BB2696" w:rsidP="00BB2696">
      <w:pPr>
        <w:pStyle w:val="ListParagraph"/>
        <w:numPr>
          <w:ilvl w:val="0"/>
          <w:numId w:val="2"/>
        </w:numPr>
        <w:spacing w:line="278" w:lineRule="auto"/>
        <w:rPr>
          <w:rFonts w:ascii="Arial" w:hAnsi="Arial" w:cs="Arial"/>
        </w:rPr>
      </w:pPr>
      <w:r w:rsidRPr="00172186">
        <w:rPr>
          <w:rFonts w:ascii="Arial" w:hAnsi="Arial" w:cs="Arial"/>
        </w:rPr>
        <w:t>Each institution should develop and actively refine site-specific protocols to enhance early recognition and early multidisciplinary collaboration amongst specialties (interventional cardiologists, cardiac surgeons, emergency medicine, and critical care) and care team members (physicians, nurses, radiation technologists, respiratory therapists) involved in the management of AMI-CS.</w:t>
      </w:r>
    </w:p>
    <w:p w14:paraId="603A5910" w14:textId="77777777" w:rsidR="00BB2696" w:rsidRPr="0007124D" w:rsidRDefault="00BB2696" w:rsidP="0007124D">
      <w:pPr>
        <w:pStyle w:val="Heading2"/>
      </w:pPr>
      <w:r w:rsidRPr="0007124D">
        <w:t>Early escalation and de-escalation</w:t>
      </w:r>
    </w:p>
    <w:p w14:paraId="397794CD" w14:textId="77777777" w:rsidR="00BB2696" w:rsidRPr="00172186" w:rsidRDefault="00BB2696" w:rsidP="00BB2696">
      <w:pPr>
        <w:pStyle w:val="ListParagraph"/>
        <w:numPr>
          <w:ilvl w:val="0"/>
          <w:numId w:val="3"/>
        </w:numPr>
        <w:spacing w:line="278" w:lineRule="auto"/>
        <w:rPr>
          <w:rFonts w:ascii="Arial" w:hAnsi="Arial" w:cs="Arial"/>
        </w:rPr>
      </w:pPr>
      <w:r w:rsidRPr="00172186">
        <w:rPr>
          <w:rFonts w:ascii="Arial" w:hAnsi="Arial" w:cs="Arial"/>
        </w:rPr>
        <w:t>Early activation and involvement of a shock team, including interventional cardiology, cardiac surgery, advanced heart failure, and critical care, as able within hospital staffing availability, is critical for multi-disciplinary collaboration and management of AMI-CS patients.</w:t>
      </w:r>
    </w:p>
    <w:p w14:paraId="3B945C15" w14:textId="77777777" w:rsidR="00BB2696" w:rsidRPr="00172186" w:rsidRDefault="00BB2696" w:rsidP="00BB2696">
      <w:pPr>
        <w:pStyle w:val="ListParagraph"/>
        <w:numPr>
          <w:ilvl w:val="0"/>
          <w:numId w:val="3"/>
        </w:numPr>
        <w:spacing w:line="278" w:lineRule="auto"/>
        <w:rPr>
          <w:rFonts w:ascii="Arial" w:hAnsi="Arial" w:cs="Arial"/>
        </w:rPr>
      </w:pPr>
      <w:r w:rsidRPr="00172186">
        <w:rPr>
          <w:rFonts w:ascii="Arial" w:hAnsi="Arial" w:cs="Arial"/>
        </w:rPr>
        <w:t>Each site should have specific escalation protocols based on local site experience and resources for the management of temporary mechanical support options.  If a patient has exhausted the site’s resources during initial stabilization, consider early transfer to centers with advanced therapy capabilities, including ECMO, durable LVAD, and heart transplantation.</w:t>
      </w:r>
    </w:p>
    <w:p w14:paraId="459D62C7" w14:textId="486D7409" w:rsidR="00BB2696" w:rsidRPr="00172186" w:rsidRDefault="00BB2696" w:rsidP="00BB2696">
      <w:pPr>
        <w:pStyle w:val="ListParagraph"/>
        <w:numPr>
          <w:ilvl w:val="0"/>
          <w:numId w:val="3"/>
        </w:numPr>
        <w:spacing w:line="278" w:lineRule="auto"/>
        <w:rPr>
          <w:rFonts w:ascii="Arial" w:hAnsi="Arial" w:cs="Arial"/>
        </w:rPr>
      </w:pPr>
      <w:r w:rsidRPr="00172186">
        <w:rPr>
          <w:rFonts w:ascii="Arial" w:hAnsi="Arial" w:cs="Arial"/>
        </w:rPr>
        <w:t xml:space="preserve">The multidisciplinary shock team should integrate the patient’s age, comorbidities, </w:t>
      </w:r>
      <w:proofErr w:type="spellStart"/>
      <w:r w:rsidRPr="00172186">
        <w:rPr>
          <w:rFonts w:ascii="Arial" w:hAnsi="Arial" w:cs="Arial"/>
        </w:rPr>
        <w:t>hemometabolic</w:t>
      </w:r>
      <w:proofErr w:type="spellEnd"/>
      <w:r w:rsidRPr="00172186">
        <w:rPr>
          <w:rFonts w:ascii="Arial" w:hAnsi="Arial" w:cs="Arial"/>
        </w:rPr>
        <w:t xml:space="preserve"> data, patient preferences, and overall goals of therapy (</w:t>
      </w:r>
      <w:r w:rsidR="00FE08B6" w:rsidRPr="00172186">
        <w:rPr>
          <w:rFonts w:ascii="Arial" w:hAnsi="Arial" w:cs="Arial"/>
        </w:rPr>
        <w:t>i.e.</w:t>
      </w:r>
      <w:r w:rsidRPr="00172186">
        <w:rPr>
          <w:rFonts w:ascii="Arial" w:hAnsi="Arial" w:cs="Arial"/>
        </w:rPr>
        <w:t>, bridge to recovery, durable LVAD or transplant) into site-specific escalation and transfer protocols.</w:t>
      </w:r>
    </w:p>
    <w:p w14:paraId="41E33B45" w14:textId="62591669" w:rsidR="00BB2696" w:rsidRPr="00172186" w:rsidRDefault="00BB2696" w:rsidP="00BB2696">
      <w:pPr>
        <w:pStyle w:val="ListParagraph"/>
        <w:numPr>
          <w:ilvl w:val="0"/>
          <w:numId w:val="3"/>
        </w:numPr>
        <w:spacing w:line="278" w:lineRule="auto"/>
        <w:rPr>
          <w:rFonts w:ascii="Arial" w:hAnsi="Arial" w:cs="Arial"/>
        </w:rPr>
      </w:pPr>
      <w:r w:rsidRPr="00172186">
        <w:rPr>
          <w:rFonts w:ascii="Arial" w:hAnsi="Arial" w:cs="Arial"/>
        </w:rPr>
        <w:t>In the case of worsening hemodynamic</w:t>
      </w:r>
      <w:r w:rsidR="00D45F04" w:rsidRPr="00172186">
        <w:rPr>
          <w:rFonts w:ascii="Arial" w:hAnsi="Arial" w:cs="Arial"/>
        </w:rPr>
        <w:t>s</w:t>
      </w:r>
      <w:r w:rsidRPr="00172186">
        <w:rPr>
          <w:rFonts w:ascii="Arial" w:hAnsi="Arial" w:cs="Arial"/>
        </w:rPr>
        <w:t xml:space="preserve"> and markers on end-organ perfusion, early protocol-based escalation should be based on local site protocols and resources.  </w:t>
      </w:r>
    </w:p>
    <w:p w14:paraId="45658AC7" w14:textId="77777777" w:rsidR="00BB2696" w:rsidRPr="00172186" w:rsidRDefault="00BB2696" w:rsidP="00BB2696">
      <w:pPr>
        <w:pStyle w:val="ListParagraph"/>
        <w:numPr>
          <w:ilvl w:val="0"/>
          <w:numId w:val="3"/>
        </w:numPr>
        <w:spacing w:line="278" w:lineRule="auto"/>
        <w:rPr>
          <w:rFonts w:ascii="Arial" w:hAnsi="Arial" w:cs="Arial"/>
        </w:rPr>
      </w:pPr>
      <w:r w:rsidRPr="00172186">
        <w:rPr>
          <w:rFonts w:ascii="Arial" w:hAnsi="Arial" w:cs="Arial"/>
        </w:rPr>
        <w:lastRenderedPageBreak/>
        <w:t>To mitigate the risks of temporary MCS and promote patient recovery, each site should have device-specific de-escalation protocols.</w:t>
      </w:r>
    </w:p>
    <w:p w14:paraId="6389BD6C" w14:textId="77777777" w:rsidR="00BB2696" w:rsidRPr="00172186" w:rsidRDefault="00BB2696" w:rsidP="00BB2696">
      <w:pPr>
        <w:pStyle w:val="ListParagraph"/>
        <w:numPr>
          <w:ilvl w:val="0"/>
          <w:numId w:val="3"/>
        </w:numPr>
        <w:spacing w:line="278" w:lineRule="auto"/>
        <w:rPr>
          <w:rFonts w:ascii="Arial" w:hAnsi="Arial" w:cs="Arial"/>
          <w:u w:val="single"/>
        </w:rPr>
      </w:pPr>
      <w:r w:rsidRPr="00172186">
        <w:rPr>
          <w:rFonts w:ascii="Arial" w:hAnsi="Arial" w:cs="Arial"/>
        </w:rPr>
        <w:t>In the case of inability to wean from temporary MCS, early engagement with a site with advanced therapy capabilities is recommended.</w:t>
      </w:r>
    </w:p>
    <w:p w14:paraId="319017C9" w14:textId="77777777" w:rsidR="00BB2696" w:rsidRPr="00271865" w:rsidRDefault="00BB2696" w:rsidP="00271865"/>
    <w:p w14:paraId="3634BCDD" w14:textId="20AD407F" w:rsidR="00BB2696" w:rsidRPr="00271865" w:rsidRDefault="00BB2696" w:rsidP="0007124D">
      <w:pPr>
        <w:pStyle w:val="Heading1"/>
      </w:pPr>
      <w:r w:rsidRPr="00271865">
        <w:t>Resources:</w:t>
      </w:r>
    </w:p>
    <w:p w14:paraId="203E41F4" w14:textId="77777777"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 xml:space="preserve">Baran D, Grines C, Bailey S, </w:t>
      </w:r>
      <w:proofErr w:type="spellStart"/>
      <w:r w:rsidRPr="00172186">
        <w:rPr>
          <w:rFonts w:ascii="Arial" w:hAnsi="Arial" w:cs="Arial"/>
        </w:rPr>
        <w:t>Burkhoff</w:t>
      </w:r>
      <w:proofErr w:type="spellEnd"/>
      <w:r w:rsidRPr="00172186">
        <w:rPr>
          <w:rFonts w:ascii="Arial" w:hAnsi="Arial" w:cs="Arial"/>
        </w:rPr>
        <w:t xml:space="preserve"> D, Hall S, Henry T, et al. SCAI clinical expert consensus statement on the classification of cardiogenic shock. </w:t>
      </w:r>
      <w:r w:rsidRPr="00172186">
        <w:rPr>
          <w:rFonts w:ascii="Arial" w:hAnsi="Arial" w:cs="Arial"/>
          <w:i/>
          <w:iCs/>
        </w:rPr>
        <w:t xml:space="preserve">Catheter Cardiovasc </w:t>
      </w:r>
      <w:proofErr w:type="spellStart"/>
      <w:r w:rsidRPr="00172186">
        <w:rPr>
          <w:rFonts w:ascii="Arial" w:hAnsi="Arial" w:cs="Arial"/>
          <w:i/>
          <w:iCs/>
        </w:rPr>
        <w:t>Interv</w:t>
      </w:r>
      <w:proofErr w:type="spellEnd"/>
      <w:r w:rsidRPr="00172186">
        <w:rPr>
          <w:rFonts w:ascii="Arial" w:hAnsi="Arial" w:cs="Arial"/>
          <w:i/>
          <w:iCs/>
        </w:rPr>
        <w:t xml:space="preserve"> Off J Soc Card </w:t>
      </w:r>
      <w:proofErr w:type="spellStart"/>
      <w:r w:rsidRPr="00172186">
        <w:rPr>
          <w:rFonts w:ascii="Arial" w:hAnsi="Arial" w:cs="Arial"/>
          <w:i/>
          <w:iCs/>
        </w:rPr>
        <w:t>Angiogr</w:t>
      </w:r>
      <w:proofErr w:type="spellEnd"/>
      <w:r w:rsidRPr="00172186">
        <w:rPr>
          <w:rFonts w:ascii="Arial" w:hAnsi="Arial" w:cs="Arial"/>
          <w:i/>
          <w:iCs/>
        </w:rPr>
        <w:t xml:space="preserve"> </w:t>
      </w:r>
      <w:proofErr w:type="spellStart"/>
      <w:r w:rsidRPr="00172186">
        <w:rPr>
          <w:rFonts w:ascii="Arial" w:hAnsi="Arial" w:cs="Arial"/>
          <w:i/>
          <w:iCs/>
        </w:rPr>
        <w:t>Interv</w:t>
      </w:r>
      <w:proofErr w:type="spellEnd"/>
      <w:r w:rsidRPr="00172186">
        <w:rPr>
          <w:rFonts w:ascii="Arial" w:hAnsi="Arial" w:cs="Arial"/>
        </w:rPr>
        <w:t xml:space="preserve">. (2019) 94(1):29–37. </w:t>
      </w:r>
      <w:proofErr w:type="spellStart"/>
      <w:r w:rsidRPr="00172186">
        <w:rPr>
          <w:rFonts w:ascii="Arial" w:hAnsi="Arial" w:cs="Arial"/>
        </w:rPr>
        <w:t>doi</w:t>
      </w:r>
      <w:proofErr w:type="spellEnd"/>
      <w:r w:rsidRPr="00172186">
        <w:rPr>
          <w:rFonts w:ascii="Arial" w:hAnsi="Arial" w:cs="Arial"/>
        </w:rPr>
        <w:t>: 10.1002/CCD.28329</w:t>
      </w:r>
    </w:p>
    <w:p w14:paraId="0F74F50D" w14:textId="587F5F34"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Basir MB, Lemor A, Gorgis S, Patel KC, Kolski BC, Bharadwaj AS,</w:t>
      </w:r>
      <w:r w:rsidR="00877512" w:rsidRPr="00172186">
        <w:rPr>
          <w:rFonts w:ascii="Arial" w:hAnsi="Arial" w:cs="Arial"/>
        </w:rPr>
        <w:t xml:space="preserve"> et al. </w:t>
      </w:r>
      <w:r w:rsidRPr="00172186">
        <w:rPr>
          <w:rFonts w:ascii="Arial" w:hAnsi="Arial" w:cs="Arial"/>
        </w:rPr>
        <w:t xml:space="preserve">Early utilization of mechanical circulatory support in acute myocardial infarction complicated by cardiogenic shock: the National Cardiogenic Shock Initiative. </w:t>
      </w:r>
      <w:r w:rsidRPr="00172186">
        <w:rPr>
          <w:rFonts w:ascii="Arial" w:hAnsi="Arial" w:cs="Arial"/>
          <w:i/>
          <w:iCs/>
        </w:rPr>
        <w:t>Journal of the American Heart Association</w:t>
      </w:r>
      <w:r w:rsidRPr="00172186">
        <w:rPr>
          <w:rFonts w:ascii="Arial" w:hAnsi="Arial" w:cs="Arial"/>
        </w:rPr>
        <w:t xml:space="preserve">. </w:t>
      </w:r>
      <w:r w:rsidR="007B04E9" w:rsidRPr="00172186">
        <w:rPr>
          <w:rFonts w:ascii="Arial" w:hAnsi="Arial" w:cs="Arial"/>
        </w:rPr>
        <w:t>(</w:t>
      </w:r>
      <w:r w:rsidRPr="00172186">
        <w:rPr>
          <w:rFonts w:ascii="Arial" w:hAnsi="Arial" w:cs="Arial"/>
        </w:rPr>
        <w:t>2023</w:t>
      </w:r>
      <w:r w:rsidR="007B04E9" w:rsidRPr="00172186">
        <w:rPr>
          <w:rFonts w:ascii="Arial" w:hAnsi="Arial" w:cs="Arial"/>
        </w:rPr>
        <w:t>))</w:t>
      </w:r>
      <w:r w:rsidRPr="00172186">
        <w:rPr>
          <w:rFonts w:ascii="Arial" w:hAnsi="Arial" w:cs="Arial"/>
        </w:rPr>
        <w:t xml:space="preserve"> Dec 5;12(23</w:t>
      </w:r>
      <w:proofErr w:type="gramStart"/>
      <w:r w:rsidRPr="00172186">
        <w:rPr>
          <w:rFonts w:ascii="Arial" w:hAnsi="Arial" w:cs="Arial"/>
        </w:rPr>
        <w:t>):e</w:t>
      </w:r>
      <w:proofErr w:type="gramEnd"/>
      <w:r w:rsidRPr="00172186">
        <w:rPr>
          <w:rFonts w:ascii="Arial" w:hAnsi="Arial" w:cs="Arial"/>
        </w:rPr>
        <w:t>031401.</w:t>
      </w:r>
    </w:p>
    <w:p w14:paraId="348D0BD2" w14:textId="4D56629E" w:rsidR="007F0732" w:rsidRPr="00172186" w:rsidRDefault="007F0732" w:rsidP="000C5BA1">
      <w:pPr>
        <w:pStyle w:val="ListParagraph"/>
        <w:numPr>
          <w:ilvl w:val="0"/>
          <w:numId w:val="1"/>
        </w:numPr>
        <w:rPr>
          <w:rFonts w:ascii="Arial" w:hAnsi="Arial" w:cs="Arial"/>
        </w:rPr>
      </w:pPr>
      <w:r w:rsidRPr="00172186">
        <w:rPr>
          <w:rFonts w:ascii="Arial" w:hAnsi="Arial" w:cs="Arial"/>
        </w:rPr>
        <w:t>Cantey</w:t>
      </w:r>
      <w:r w:rsidR="002D422D" w:rsidRPr="00172186">
        <w:rPr>
          <w:rFonts w:ascii="Arial" w:hAnsi="Arial" w:cs="Arial"/>
        </w:rPr>
        <w:t xml:space="preserve"> EP, Lopacinski A, Seth M, Hamilton DE, Dayoub EJ, G</w:t>
      </w:r>
      <w:r w:rsidR="00877512" w:rsidRPr="00172186">
        <w:rPr>
          <w:rFonts w:ascii="Arial" w:hAnsi="Arial" w:cs="Arial"/>
        </w:rPr>
        <w:t>andhi S, et al. Managing Cardiovascular Shock Caused by Acute Myocardial Infarction: Invisible Challenges Revealed in a Statewide Registry.</w:t>
      </w:r>
      <w:r w:rsidR="00C169C2" w:rsidRPr="00172186">
        <w:rPr>
          <w:rFonts w:ascii="Arial" w:hAnsi="Arial" w:cs="Arial"/>
        </w:rPr>
        <w:t> </w:t>
      </w:r>
      <w:r w:rsidR="00C169C2" w:rsidRPr="00172186">
        <w:rPr>
          <w:rFonts w:ascii="Arial" w:hAnsi="Arial" w:cs="Arial"/>
          <w:i/>
          <w:iCs/>
        </w:rPr>
        <w:t xml:space="preserve">J Am Coll </w:t>
      </w:r>
      <w:proofErr w:type="spellStart"/>
      <w:r w:rsidR="00C169C2" w:rsidRPr="00172186">
        <w:rPr>
          <w:rFonts w:ascii="Arial" w:hAnsi="Arial" w:cs="Arial"/>
          <w:i/>
          <w:iCs/>
        </w:rPr>
        <w:t>Cardiol</w:t>
      </w:r>
      <w:proofErr w:type="spellEnd"/>
      <w:r w:rsidR="00C169C2" w:rsidRPr="00172186">
        <w:rPr>
          <w:rFonts w:ascii="Arial" w:hAnsi="Arial" w:cs="Arial"/>
          <w:i/>
          <w:iCs/>
        </w:rPr>
        <w:t>.</w:t>
      </w:r>
      <w:r w:rsidR="00C169C2" w:rsidRPr="00172186">
        <w:rPr>
          <w:rFonts w:ascii="Arial" w:hAnsi="Arial" w:cs="Arial"/>
        </w:rPr>
        <w:t xml:space="preserve"> </w:t>
      </w:r>
      <w:r w:rsidR="00614725" w:rsidRPr="00172186">
        <w:rPr>
          <w:rFonts w:ascii="Arial" w:hAnsi="Arial" w:cs="Arial"/>
        </w:rPr>
        <w:t xml:space="preserve">(2025) 85(16). </w:t>
      </w:r>
      <w:proofErr w:type="spellStart"/>
      <w:r w:rsidR="00614725" w:rsidRPr="00172186">
        <w:rPr>
          <w:rFonts w:ascii="Arial" w:hAnsi="Arial" w:cs="Arial"/>
        </w:rPr>
        <w:t>doi</w:t>
      </w:r>
      <w:proofErr w:type="spellEnd"/>
      <w:r w:rsidR="00614725" w:rsidRPr="00172186">
        <w:rPr>
          <w:rFonts w:ascii="Arial" w:hAnsi="Arial" w:cs="Arial"/>
        </w:rPr>
        <w:t>:</w:t>
      </w:r>
      <w:r w:rsidR="000C5BA1" w:rsidRPr="00172186">
        <w:rPr>
          <w:rFonts w:ascii="Arial" w:hAnsi="Arial" w:cs="Arial"/>
        </w:rPr>
        <w:t xml:space="preserve"> 10.1016/j.jacc.2025.02.027</w:t>
      </w:r>
    </w:p>
    <w:p w14:paraId="14E9AB2C" w14:textId="0233057B"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 xml:space="preserve">Deschamps J, Obanor O, </w:t>
      </w:r>
      <w:proofErr w:type="spellStart"/>
      <w:r w:rsidRPr="00172186">
        <w:rPr>
          <w:rFonts w:ascii="Arial" w:hAnsi="Arial" w:cs="Arial"/>
        </w:rPr>
        <w:t>Clarizia</w:t>
      </w:r>
      <w:proofErr w:type="spellEnd"/>
      <w:r w:rsidRPr="00172186">
        <w:rPr>
          <w:rFonts w:ascii="Arial" w:hAnsi="Arial" w:cs="Arial"/>
        </w:rPr>
        <w:t xml:space="preserve"> N, Singh G, Lobdell K, Bailey D,</w:t>
      </w:r>
      <w:r w:rsidR="005956BB" w:rsidRPr="00172186">
        <w:rPr>
          <w:rFonts w:ascii="Arial" w:hAnsi="Arial" w:cs="Arial"/>
        </w:rPr>
        <w:t xml:space="preserve"> et al. </w:t>
      </w:r>
      <w:proofErr w:type="gramStart"/>
      <w:r w:rsidRPr="00172186">
        <w:rPr>
          <w:rFonts w:ascii="Arial" w:hAnsi="Arial" w:cs="Arial"/>
        </w:rPr>
        <w:t>Best</w:t>
      </w:r>
      <w:proofErr w:type="gramEnd"/>
      <w:r w:rsidRPr="00172186">
        <w:rPr>
          <w:rFonts w:ascii="Arial" w:hAnsi="Arial" w:cs="Arial"/>
        </w:rPr>
        <w:t xml:space="preserve"> management practices on temporary mechanical circulatory support: joint consensus report of the </w:t>
      </w:r>
      <w:proofErr w:type="spellStart"/>
      <w:r w:rsidRPr="00172186">
        <w:rPr>
          <w:rFonts w:ascii="Arial" w:hAnsi="Arial" w:cs="Arial"/>
        </w:rPr>
        <w:t>PeriOperative</w:t>
      </w:r>
      <w:proofErr w:type="spellEnd"/>
      <w:r w:rsidRPr="00172186">
        <w:rPr>
          <w:rFonts w:ascii="Arial" w:hAnsi="Arial" w:cs="Arial"/>
        </w:rPr>
        <w:t xml:space="preserve"> Quality Initiative and the Enhanced Recovery After Surgery Cardiac Society. </w:t>
      </w:r>
      <w:r w:rsidRPr="00172186">
        <w:rPr>
          <w:rFonts w:ascii="Arial" w:hAnsi="Arial" w:cs="Arial"/>
          <w:i/>
          <w:iCs/>
        </w:rPr>
        <w:t xml:space="preserve">The Annals of </w:t>
      </w:r>
      <w:r w:rsidR="007B04E9" w:rsidRPr="00172186">
        <w:rPr>
          <w:rFonts w:ascii="Arial" w:hAnsi="Arial" w:cs="Arial"/>
          <w:i/>
          <w:iCs/>
        </w:rPr>
        <w:t>T</w:t>
      </w:r>
      <w:r w:rsidRPr="00172186">
        <w:rPr>
          <w:rFonts w:ascii="Arial" w:hAnsi="Arial" w:cs="Arial"/>
          <w:i/>
          <w:iCs/>
        </w:rPr>
        <w:t xml:space="preserve">horacic </w:t>
      </w:r>
      <w:r w:rsidR="007B04E9" w:rsidRPr="00172186">
        <w:rPr>
          <w:rFonts w:ascii="Arial" w:hAnsi="Arial" w:cs="Arial"/>
          <w:i/>
          <w:iCs/>
        </w:rPr>
        <w:t>S</w:t>
      </w:r>
      <w:r w:rsidRPr="00172186">
        <w:rPr>
          <w:rFonts w:ascii="Arial" w:hAnsi="Arial" w:cs="Arial"/>
          <w:i/>
          <w:iCs/>
        </w:rPr>
        <w:t>urgery</w:t>
      </w:r>
      <w:r w:rsidRPr="00172186">
        <w:rPr>
          <w:rFonts w:ascii="Arial" w:hAnsi="Arial" w:cs="Arial"/>
        </w:rPr>
        <w:t xml:space="preserve">. </w:t>
      </w:r>
      <w:r w:rsidR="005956BB" w:rsidRPr="00172186">
        <w:rPr>
          <w:rFonts w:ascii="Arial" w:hAnsi="Arial" w:cs="Arial"/>
        </w:rPr>
        <w:t>(</w:t>
      </w:r>
      <w:r w:rsidRPr="00172186">
        <w:rPr>
          <w:rFonts w:ascii="Arial" w:hAnsi="Arial" w:cs="Arial"/>
        </w:rPr>
        <w:t>2025</w:t>
      </w:r>
      <w:r w:rsidR="005956BB" w:rsidRPr="00172186">
        <w:rPr>
          <w:rFonts w:ascii="Arial" w:hAnsi="Arial" w:cs="Arial"/>
        </w:rPr>
        <w:t>)</w:t>
      </w:r>
      <w:r w:rsidR="007047CB" w:rsidRPr="00172186">
        <w:rPr>
          <w:rFonts w:ascii="Arial" w:hAnsi="Arial" w:cs="Arial"/>
        </w:rPr>
        <w:t xml:space="preserve"> </w:t>
      </w:r>
      <w:proofErr w:type="spellStart"/>
      <w:r w:rsidR="007047CB" w:rsidRPr="00172186">
        <w:rPr>
          <w:rFonts w:ascii="Arial" w:hAnsi="Arial" w:cs="Arial"/>
        </w:rPr>
        <w:t>doi</w:t>
      </w:r>
      <w:proofErr w:type="spellEnd"/>
      <w:r w:rsidR="007047CB" w:rsidRPr="00172186">
        <w:rPr>
          <w:rFonts w:ascii="Arial" w:hAnsi="Arial" w:cs="Arial"/>
        </w:rPr>
        <w:t>: 10.1016/j.athoracsur.2025.01.039</w:t>
      </w:r>
    </w:p>
    <w:p w14:paraId="63587A58" w14:textId="77777777"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Garan AR, Kanwar M, Thayer KL, Whitehead E, Zweck E, Hernandez-Montfort J, et al. Complete hemodynamic profiling with pulmonary artery catheters in cardiogenic shock is associated with lower in-hospital mortality. </w:t>
      </w:r>
      <w:r w:rsidRPr="00172186">
        <w:rPr>
          <w:rFonts w:ascii="Arial" w:hAnsi="Arial" w:cs="Arial"/>
          <w:i/>
          <w:iCs/>
        </w:rPr>
        <w:t>JACC Heart Fail</w:t>
      </w:r>
      <w:r w:rsidRPr="00172186">
        <w:rPr>
          <w:rFonts w:ascii="Arial" w:hAnsi="Arial" w:cs="Arial"/>
        </w:rPr>
        <w:t xml:space="preserve">. (2020) 8(11):903–13. </w:t>
      </w:r>
      <w:proofErr w:type="spellStart"/>
      <w:r w:rsidRPr="00172186">
        <w:rPr>
          <w:rFonts w:ascii="Arial" w:hAnsi="Arial" w:cs="Arial"/>
        </w:rPr>
        <w:t>doi</w:t>
      </w:r>
      <w:proofErr w:type="spellEnd"/>
      <w:r w:rsidRPr="00172186">
        <w:rPr>
          <w:rFonts w:ascii="Arial" w:hAnsi="Arial" w:cs="Arial"/>
        </w:rPr>
        <w:t>: 10.1016/j.jchf.2020.08.012</w:t>
      </w:r>
    </w:p>
    <w:p w14:paraId="545A671F" w14:textId="22B7A34A" w:rsidR="00BB2696" w:rsidRPr="00172186" w:rsidRDefault="00BB2696" w:rsidP="009F2DD5">
      <w:pPr>
        <w:pStyle w:val="ListParagraph"/>
        <w:numPr>
          <w:ilvl w:val="0"/>
          <w:numId w:val="1"/>
        </w:numPr>
        <w:rPr>
          <w:rFonts w:ascii="Arial" w:hAnsi="Arial" w:cs="Arial"/>
        </w:rPr>
      </w:pPr>
      <w:r w:rsidRPr="00172186">
        <w:rPr>
          <w:rFonts w:ascii="Arial" w:hAnsi="Arial" w:cs="Arial"/>
        </w:rPr>
        <w:t>Geller</w:t>
      </w:r>
      <w:r w:rsidR="00EA6A26" w:rsidRPr="00172186">
        <w:rPr>
          <w:rFonts w:ascii="Arial" w:hAnsi="Arial" w:cs="Arial"/>
        </w:rPr>
        <w:t xml:space="preserve"> BJ, </w:t>
      </w:r>
      <w:r w:rsidR="00465D49" w:rsidRPr="00172186">
        <w:rPr>
          <w:rFonts w:ascii="Arial" w:hAnsi="Arial" w:cs="Arial"/>
        </w:rPr>
        <w:t xml:space="preserve">Sinha SS, Kapur NK, Bakitas M, Balsam LB, </w:t>
      </w:r>
      <w:proofErr w:type="spellStart"/>
      <w:r w:rsidR="00465D49" w:rsidRPr="00172186">
        <w:rPr>
          <w:rFonts w:ascii="Arial" w:hAnsi="Arial" w:cs="Arial"/>
        </w:rPr>
        <w:t>Cikwe</w:t>
      </w:r>
      <w:proofErr w:type="spellEnd"/>
      <w:r w:rsidR="00465D49" w:rsidRPr="00172186">
        <w:rPr>
          <w:rFonts w:ascii="Arial" w:hAnsi="Arial" w:cs="Arial"/>
        </w:rPr>
        <w:t xml:space="preserve"> J, </w:t>
      </w:r>
      <w:r w:rsidRPr="00172186">
        <w:rPr>
          <w:rFonts w:ascii="Arial" w:hAnsi="Arial" w:cs="Arial"/>
        </w:rPr>
        <w:t>et al. Escalating and de-escalating temporary mechanical circulatory support in cardiogenic shock: a scientific statement from the American Heart Association. </w:t>
      </w:r>
      <w:r w:rsidRPr="00172186">
        <w:rPr>
          <w:rFonts w:ascii="Arial" w:hAnsi="Arial" w:cs="Arial"/>
          <w:i/>
          <w:iCs/>
        </w:rPr>
        <w:t>Circulation</w:t>
      </w:r>
      <w:r w:rsidR="009F2DD5" w:rsidRPr="00172186">
        <w:rPr>
          <w:rFonts w:ascii="Arial" w:hAnsi="Arial" w:cs="Arial"/>
          <w:i/>
          <w:iCs/>
        </w:rPr>
        <w:t>.</w:t>
      </w:r>
      <w:r w:rsidRPr="00172186">
        <w:rPr>
          <w:rFonts w:ascii="Arial" w:hAnsi="Arial" w:cs="Arial"/>
        </w:rPr>
        <w:t> </w:t>
      </w:r>
      <w:r w:rsidR="00465D49" w:rsidRPr="00172186">
        <w:rPr>
          <w:rFonts w:ascii="Arial" w:hAnsi="Arial" w:cs="Arial"/>
        </w:rPr>
        <w:t xml:space="preserve">(2022) </w:t>
      </w:r>
      <w:r w:rsidRPr="00172186">
        <w:rPr>
          <w:rFonts w:ascii="Arial" w:hAnsi="Arial" w:cs="Arial"/>
        </w:rPr>
        <w:t>146.6: e50-e68.</w:t>
      </w:r>
      <w:r w:rsidR="00465D49" w:rsidRPr="00172186">
        <w:rPr>
          <w:rFonts w:ascii="Arial" w:hAnsi="Arial" w:cs="Arial"/>
        </w:rPr>
        <w:t xml:space="preserve"> </w:t>
      </w:r>
      <w:proofErr w:type="spellStart"/>
      <w:r w:rsidR="009F2DD5" w:rsidRPr="00172186">
        <w:rPr>
          <w:rFonts w:ascii="Arial" w:hAnsi="Arial" w:cs="Arial"/>
        </w:rPr>
        <w:t>doi</w:t>
      </w:r>
      <w:proofErr w:type="spellEnd"/>
      <w:r w:rsidR="009F2DD5" w:rsidRPr="00172186">
        <w:rPr>
          <w:rFonts w:ascii="Arial" w:hAnsi="Arial" w:cs="Arial"/>
        </w:rPr>
        <w:t xml:space="preserve">: 10.1161/CIR.0000000000001076 </w:t>
      </w:r>
    </w:p>
    <w:p w14:paraId="2B32F258" w14:textId="77777777"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 xml:space="preserve">Kadosh BS, Berg DD, </w:t>
      </w:r>
      <w:proofErr w:type="spellStart"/>
      <w:r w:rsidRPr="00172186">
        <w:rPr>
          <w:rFonts w:ascii="Arial" w:hAnsi="Arial" w:cs="Arial"/>
        </w:rPr>
        <w:t>Bohula</w:t>
      </w:r>
      <w:proofErr w:type="spellEnd"/>
      <w:r w:rsidRPr="00172186">
        <w:rPr>
          <w:rFonts w:ascii="Arial" w:hAnsi="Arial" w:cs="Arial"/>
        </w:rPr>
        <w:t xml:space="preserve"> EA, Park J-G, Baird-</w:t>
      </w:r>
      <w:proofErr w:type="spellStart"/>
      <w:r w:rsidRPr="00172186">
        <w:rPr>
          <w:rFonts w:ascii="Arial" w:hAnsi="Arial" w:cs="Arial"/>
        </w:rPr>
        <w:t>Zars</w:t>
      </w:r>
      <w:proofErr w:type="spellEnd"/>
      <w:r w:rsidRPr="00172186">
        <w:rPr>
          <w:rFonts w:ascii="Arial" w:hAnsi="Arial" w:cs="Arial"/>
        </w:rPr>
        <w:t xml:space="preserve"> VM, Alviar C, et al. Pulmonary artery catheter </w:t>
      </w:r>
      <w:proofErr w:type="gramStart"/>
      <w:r w:rsidRPr="00172186">
        <w:rPr>
          <w:rFonts w:ascii="Arial" w:hAnsi="Arial" w:cs="Arial"/>
        </w:rPr>
        <w:t>use</w:t>
      </w:r>
      <w:proofErr w:type="gramEnd"/>
      <w:r w:rsidRPr="00172186">
        <w:rPr>
          <w:rFonts w:ascii="Arial" w:hAnsi="Arial" w:cs="Arial"/>
        </w:rPr>
        <w:t xml:space="preserve"> and mortality in the cardiac intensive care unit. </w:t>
      </w:r>
      <w:r w:rsidRPr="00172186">
        <w:rPr>
          <w:rFonts w:ascii="Arial" w:hAnsi="Arial" w:cs="Arial"/>
          <w:i/>
          <w:iCs/>
        </w:rPr>
        <w:t>JACC Heart Fail</w:t>
      </w:r>
      <w:r w:rsidRPr="00172186">
        <w:rPr>
          <w:rFonts w:ascii="Arial" w:hAnsi="Arial" w:cs="Arial"/>
        </w:rPr>
        <w:t xml:space="preserve">. (2023) 11(8 Pt 1):903–14. </w:t>
      </w:r>
      <w:proofErr w:type="spellStart"/>
      <w:r w:rsidRPr="00172186">
        <w:rPr>
          <w:rFonts w:ascii="Arial" w:hAnsi="Arial" w:cs="Arial"/>
        </w:rPr>
        <w:t>doi</w:t>
      </w:r>
      <w:proofErr w:type="spellEnd"/>
      <w:r w:rsidRPr="00172186">
        <w:rPr>
          <w:rFonts w:ascii="Arial" w:hAnsi="Arial" w:cs="Arial"/>
        </w:rPr>
        <w:t>: 10.1016/j.jchf.2023.04.007</w:t>
      </w:r>
    </w:p>
    <w:p w14:paraId="5C87EAE4" w14:textId="0045DCF8"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 xml:space="preserve">Mehta A, </w:t>
      </w:r>
      <w:proofErr w:type="spellStart"/>
      <w:r w:rsidRPr="00172186">
        <w:rPr>
          <w:rFonts w:ascii="Arial" w:hAnsi="Arial" w:cs="Arial"/>
        </w:rPr>
        <w:t>Vavilin</w:t>
      </w:r>
      <w:proofErr w:type="spellEnd"/>
      <w:r w:rsidRPr="00172186">
        <w:rPr>
          <w:rFonts w:ascii="Arial" w:hAnsi="Arial" w:cs="Arial"/>
        </w:rPr>
        <w:t xml:space="preserve"> I, Nguyen AH, Batchelor WB, Blumer V, Cilia L, </w:t>
      </w:r>
      <w:r w:rsidR="009F2DD5" w:rsidRPr="00172186">
        <w:rPr>
          <w:rFonts w:ascii="Arial" w:hAnsi="Arial" w:cs="Arial"/>
        </w:rPr>
        <w:t>et al</w:t>
      </w:r>
      <w:r w:rsidRPr="00172186">
        <w:rPr>
          <w:rFonts w:ascii="Arial" w:hAnsi="Arial" w:cs="Arial"/>
        </w:rPr>
        <w:t xml:space="preserve">. Contemporary approach to cardiogenic shock care: a state-of-the-art review. </w:t>
      </w:r>
      <w:r w:rsidRPr="00172186">
        <w:rPr>
          <w:rFonts w:ascii="Arial" w:hAnsi="Arial" w:cs="Arial"/>
          <w:i/>
          <w:iCs/>
        </w:rPr>
        <w:t>Frontiers in cardiovascular medicine.</w:t>
      </w:r>
      <w:r w:rsidRPr="00172186">
        <w:rPr>
          <w:rFonts w:ascii="Arial" w:hAnsi="Arial" w:cs="Arial"/>
        </w:rPr>
        <w:t xml:space="preserve"> </w:t>
      </w:r>
      <w:r w:rsidR="009F2DD5" w:rsidRPr="00172186">
        <w:rPr>
          <w:rFonts w:ascii="Arial" w:hAnsi="Arial" w:cs="Arial"/>
        </w:rPr>
        <w:t>(</w:t>
      </w:r>
      <w:r w:rsidRPr="00172186">
        <w:rPr>
          <w:rFonts w:ascii="Arial" w:hAnsi="Arial" w:cs="Arial"/>
        </w:rPr>
        <w:t>2024</w:t>
      </w:r>
      <w:r w:rsidR="009F2DD5" w:rsidRPr="00172186">
        <w:rPr>
          <w:rFonts w:ascii="Arial" w:hAnsi="Arial" w:cs="Arial"/>
        </w:rPr>
        <w:t>)</w:t>
      </w:r>
      <w:r w:rsidRPr="00172186">
        <w:rPr>
          <w:rFonts w:ascii="Arial" w:hAnsi="Arial" w:cs="Arial"/>
        </w:rPr>
        <w:t xml:space="preserve"> Mar </w:t>
      </w:r>
      <w:proofErr w:type="gramStart"/>
      <w:r w:rsidRPr="00172186">
        <w:rPr>
          <w:rFonts w:ascii="Arial" w:hAnsi="Arial" w:cs="Arial"/>
        </w:rPr>
        <w:t>13;11:1354158</w:t>
      </w:r>
      <w:proofErr w:type="gramEnd"/>
      <w:r w:rsidRPr="00172186">
        <w:rPr>
          <w:rFonts w:ascii="Arial" w:hAnsi="Arial" w:cs="Arial"/>
        </w:rPr>
        <w:t>.</w:t>
      </w:r>
      <w:r w:rsidR="009F2DD5" w:rsidRPr="00172186">
        <w:rPr>
          <w:rFonts w:ascii="Arial" w:hAnsi="Arial" w:cs="Arial"/>
        </w:rPr>
        <w:t xml:space="preserve"> </w:t>
      </w:r>
      <w:proofErr w:type="spellStart"/>
      <w:r w:rsidR="00980741" w:rsidRPr="00172186">
        <w:rPr>
          <w:rFonts w:ascii="Arial" w:hAnsi="Arial" w:cs="Arial"/>
        </w:rPr>
        <w:t>d</w:t>
      </w:r>
      <w:r w:rsidR="009F2DD5" w:rsidRPr="00172186">
        <w:rPr>
          <w:rFonts w:ascii="Arial" w:hAnsi="Arial" w:cs="Arial"/>
        </w:rPr>
        <w:t>oi</w:t>
      </w:r>
      <w:proofErr w:type="spellEnd"/>
      <w:r w:rsidR="009F2DD5" w:rsidRPr="00172186">
        <w:rPr>
          <w:rFonts w:ascii="Arial" w:hAnsi="Arial" w:cs="Arial"/>
        </w:rPr>
        <w:t xml:space="preserve">: </w:t>
      </w:r>
      <w:r w:rsidR="00980741" w:rsidRPr="00172186">
        <w:rPr>
          <w:rFonts w:ascii="Arial" w:hAnsi="Arial" w:cs="Arial"/>
        </w:rPr>
        <w:t>10.3389/fcvm.2024.1354158</w:t>
      </w:r>
    </w:p>
    <w:p w14:paraId="654B0D42" w14:textId="09A4D2B2" w:rsidR="00BB2696" w:rsidRPr="00172186" w:rsidRDefault="00BB2696" w:rsidP="000F19F9">
      <w:pPr>
        <w:pStyle w:val="ListParagraph"/>
        <w:numPr>
          <w:ilvl w:val="0"/>
          <w:numId w:val="1"/>
        </w:numPr>
        <w:rPr>
          <w:rFonts w:ascii="Arial" w:hAnsi="Arial" w:cs="Arial"/>
        </w:rPr>
      </w:pPr>
      <w:r w:rsidRPr="00172186">
        <w:rPr>
          <w:rFonts w:ascii="Arial" w:hAnsi="Arial" w:cs="Arial"/>
        </w:rPr>
        <w:t>Møller J.E., Engstrøm T., Jensen L.O.,</w:t>
      </w:r>
      <w:r w:rsidR="00980741" w:rsidRPr="00172186">
        <w:rPr>
          <w:rFonts w:ascii="Arial" w:hAnsi="Arial" w:cs="Arial"/>
        </w:rPr>
        <w:t xml:space="preserve"> </w:t>
      </w:r>
      <w:proofErr w:type="spellStart"/>
      <w:r w:rsidR="00980741" w:rsidRPr="00172186">
        <w:rPr>
          <w:rFonts w:ascii="Arial" w:hAnsi="Arial" w:cs="Arial"/>
        </w:rPr>
        <w:t>Eiskjaer</w:t>
      </w:r>
      <w:proofErr w:type="spellEnd"/>
      <w:r w:rsidR="00980741" w:rsidRPr="00172186">
        <w:rPr>
          <w:rFonts w:ascii="Arial" w:hAnsi="Arial" w:cs="Arial"/>
        </w:rPr>
        <w:t xml:space="preserve"> H, </w:t>
      </w:r>
      <w:proofErr w:type="spellStart"/>
      <w:r w:rsidR="00980741" w:rsidRPr="00172186">
        <w:rPr>
          <w:rFonts w:ascii="Arial" w:hAnsi="Arial" w:cs="Arial"/>
        </w:rPr>
        <w:t>Mangner</w:t>
      </w:r>
      <w:proofErr w:type="spellEnd"/>
      <w:r w:rsidR="00980741" w:rsidRPr="00172186">
        <w:rPr>
          <w:rFonts w:ascii="Arial" w:hAnsi="Arial" w:cs="Arial"/>
        </w:rPr>
        <w:t xml:space="preserve"> N</w:t>
      </w:r>
      <w:r w:rsidR="000F19F9" w:rsidRPr="00172186">
        <w:rPr>
          <w:rFonts w:ascii="Arial" w:hAnsi="Arial" w:cs="Arial"/>
        </w:rPr>
        <w:t>, Polzin A,</w:t>
      </w:r>
      <w:r w:rsidRPr="00172186">
        <w:rPr>
          <w:rFonts w:ascii="Arial" w:hAnsi="Arial" w:cs="Arial"/>
        </w:rPr>
        <w:t xml:space="preserve"> et al. </w:t>
      </w:r>
      <w:proofErr w:type="spellStart"/>
      <w:r w:rsidRPr="00172186">
        <w:rPr>
          <w:rFonts w:ascii="Arial" w:hAnsi="Arial" w:cs="Arial"/>
        </w:rPr>
        <w:t>DanGer</w:t>
      </w:r>
      <w:proofErr w:type="spellEnd"/>
      <w:r w:rsidRPr="00172186">
        <w:rPr>
          <w:rFonts w:ascii="Arial" w:hAnsi="Arial" w:cs="Arial"/>
        </w:rPr>
        <w:t xml:space="preserve"> Shock Investigators. </w:t>
      </w:r>
      <w:proofErr w:type="spellStart"/>
      <w:r w:rsidRPr="00172186">
        <w:rPr>
          <w:rFonts w:ascii="Arial" w:hAnsi="Arial" w:cs="Arial"/>
        </w:rPr>
        <w:t>Microaxial</w:t>
      </w:r>
      <w:proofErr w:type="spellEnd"/>
      <w:r w:rsidRPr="00172186">
        <w:rPr>
          <w:rFonts w:ascii="Arial" w:hAnsi="Arial" w:cs="Arial"/>
        </w:rPr>
        <w:t xml:space="preserve"> flow pump or standard care in infarct-related cardiogenic shock. </w:t>
      </w:r>
      <w:r w:rsidRPr="00172186">
        <w:rPr>
          <w:rFonts w:ascii="Arial" w:hAnsi="Arial" w:cs="Arial"/>
          <w:i/>
          <w:iCs/>
        </w:rPr>
        <w:t>N Engl J Med</w:t>
      </w:r>
      <w:r w:rsidRPr="00172186">
        <w:rPr>
          <w:rFonts w:ascii="Arial" w:hAnsi="Arial" w:cs="Arial"/>
        </w:rPr>
        <w:t xml:space="preserve">. </w:t>
      </w:r>
      <w:r w:rsidR="000F19F9" w:rsidRPr="00172186">
        <w:rPr>
          <w:rFonts w:ascii="Arial" w:hAnsi="Arial" w:cs="Arial"/>
        </w:rPr>
        <w:t>(</w:t>
      </w:r>
      <w:r w:rsidRPr="00172186">
        <w:rPr>
          <w:rFonts w:ascii="Arial" w:hAnsi="Arial" w:cs="Arial"/>
        </w:rPr>
        <w:t>2024</w:t>
      </w:r>
      <w:r w:rsidR="000F19F9" w:rsidRPr="00172186">
        <w:rPr>
          <w:rFonts w:ascii="Arial" w:hAnsi="Arial" w:cs="Arial"/>
        </w:rPr>
        <w:t xml:space="preserve">) </w:t>
      </w:r>
      <w:r w:rsidRPr="00172186">
        <w:rPr>
          <w:rFonts w:ascii="Arial" w:hAnsi="Arial" w:cs="Arial"/>
        </w:rPr>
        <w:t>390:15:1382-1393.</w:t>
      </w:r>
      <w:r w:rsidR="000F19F9" w:rsidRPr="00172186">
        <w:rPr>
          <w:rFonts w:ascii="Arial" w:hAnsi="Arial" w:cs="Arial"/>
        </w:rPr>
        <w:t xml:space="preserve"> Doi: 10.1056/NEJMoa2312572</w:t>
      </w:r>
    </w:p>
    <w:p w14:paraId="0B48946A" w14:textId="36F97134"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 xml:space="preserve">Randhawa VK, Al-Fares A, Tong MZ, Soltesz EG, Hernandez-Montfort J, </w:t>
      </w:r>
      <w:proofErr w:type="spellStart"/>
      <w:r w:rsidRPr="00172186">
        <w:rPr>
          <w:rFonts w:ascii="Arial" w:hAnsi="Arial" w:cs="Arial"/>
        </w:rPr>
        <w:t>Taimeh</w:t>
      </w:r>
      <w:proofErr w:type="spellEnd"/>
      <w:r w:rsidRPr="00172186">
        <w:rPr>
          <w:rFonts w:ascii="Arial" w:hAnsi="Arial" w:cs="Arial"/>
        </w:rPr>
        <w:t xml:space="preserve"> Z,</w:t>
      </w:r>
      <w:r w:rsidR="000F19F9" w:rsidRPr="00172186">
        <w:rPr>
          <w:rFonts w:ascii="Arial" w:hAnsi="Arial" w:cs="Arial"/>
        </w:rPr>
        <w:t xml:space="preserve"> et al.</w:t>
      </w:r>
      <w:r w:rsidRPr="00172186">
        <w:rPr>
          <w:rFonts w:ascii="Arial" w:hAnsi="Arial" w:cs="Arial"/>
        </w:rPr>
        <w:t xml:space="preserve"> A pragmatic approach to weaning temporary mechanical circulatory support: a state-of-the-art review. </w:t>
      </w:r>
      <w:r w:rsidRPr="00172186">
        <w:rPr>
          <w:rFonts w:ascii="Arial" w:hAnsi="Arial" w:cs="Arial"/>
          <w:i/>
          <w:iCs/>
        </w:rPr>
        <w:t>Heart Failure</w:t>
      </w:r>
      <w:r w:rsidRPr="00172186">
        <w:rPr>
          <w:rFonts w:ascii="Arial" w:hAnsi="Arial" w:cs="Arial"/>
        </w:rPr>
        <w:t xml:space="preserve">. </w:t>
      </w:r>
      <w:r w:rsidR="001B07A0" w:rsidRPr="00172186">
        <w:rPr>
          <w:rFonts w:ascii="Arial" w:hAnsi="Arial" w:cs="Arial"/>
        </w:rPr>
        <w:t>(</w:t>
      </w:r>
      <w:r w:rsidRPr="00172186">
        <w:rPr>
          <w:rFonts w:ascii="Arial" w:hAnsi="Arial" w:cs="Arial"/>
        </w:rPr>
        <w:t>2021</w:t>
      </w:r>
      <w:r w:rsidR="001B07A0" w:rsidRPr="00172186">
        <w:rPr>
          <w:rFonts w:ascii="Arial" w:hAnsi="Arial" w:cs="Arial"/>
        </w:rPr>
        <w:t>)</w:t>
      </w:r>
      <w:r w:rsidRPr="00172186">
        <w:rPr>
          <w:rFonts w:ascii="Arial" w:hAnsi="Arial" w:cs="Arial"/>
        </w:rPr>
        <w:t xml:space="preserve"> Sep 1;9(9):664-73.</w:t>
      </w:r>
      <w:r w:rsidR="00D0495A" w:rsidRPr="00172186">
        <w:rPr>
          <w:rFonts w:ascii="Arial" w:hAnsi="Arial" w:cs="Arial"/>
        </w:rPr>
        <w:t xml:space="preserve"> </w:t>
      </w:r>
      <w:proofErr w:type="spellStart"/>
      <w:r w:rsidR="00D0495A" w:rsidRPr="00172186">
        <w:rPr>
          <w:rFonts w:ascii="Arial" w:hAnsi="Arial" w:cs="Arial"/>
        </w:rPr>
        <w:t>doi</w:t>
      </w:r>
      <w:proofErr w:type="spellEnd"/>
      <w:r w:rsidR="00D0495A" w:rsidRPr="00172186">
        <w:rPr>
          <w:rFonts w:ascii="Arial" w:hAnsi="Arial" w:cs="Arial"/>
        </w:rPr>
        <w:t>: 10.1016/j.jchf.2021.05.011</w:t>
      </w:r>
    </w:p>
    <w:p w14:paraId="7A726E83" w14:textId="1B463152" w:rsidR="00BB2696" w:rsidRPr="00172186" w:rsidRDefault="00BB2696" w:rsidP="00B72D58">
      <w:pPr>
        <w:pStyle w:val="ListParagraph"/>
        <w:numPr>
          <w:ilvl w:val="0"/>
          <w:numId w:val="1"/>
        </w:numPr>
        <w:rPr>
          <w:rFonts w:ascii="Arial" w:hAnsi="Arial" w:cs="Arial"/>
        </w:rPr>
      </w:pPr>
      <w:r w:rsidRPr="00172186">
        <w:rPr>
          <w:rFonts w:ascii="Arial" w:hAnsi="Arial" w:cs="Arial"/>
        </w:rPr>
        <w:lastRenderedPageBreak/>
        <w:t xml:space="preserve">Sinha SS, Morrow DA, Kapur NK, Kataria R, Roswell RO. 2025 Concise Clinical Guidance: an ACC expert consensus statement on the evaluation and management of cardiogenic shock: a report of the American College of Cardiology Solution Set Oversight Committee. </w:t>
      </w:r>
      <w:r w:rsidR="00B72D58" w:rsidRPr="00172186">
        <w:rPr>
          <w:rFonts w:ascii="Arial" w:hAnsi="Arial" w:cs="Arial"/>
          <w:i/>
          <w:iCs/>
        </w:rPr>
        <w:t xml:space="preserve">J Am Coll </w:t>
      </w:r>
      <w:proofErr w:type="spellStart"/>
      <w:r w:rsidR="00B72D58" w:rsidRPr="00172186">
        <w:rPr>
          <w:rFonts w:ascii="Arial" w:hAnsi="Arial" w:cs="Arial"/>
          <w:i/>
          <w:iCs/>
        </w:rPr>
        <w:t>Cardiol</w:t>
      </w:r>
      <w:proofErr w:type="spellEnd"/>
      <w:r w:rsidRPr="00172186">
        <w:rPr>
          <w:rFonts w:ascii="Arial" w:hAnsi="Arial" w:cs="Arial"/>
        </w:rPr>
        <w:t xml:space="preserve">. </w:t>
      </w:r>
      <w:r w:rsidR="00B72D58" w:rsidRPr="00172186">
        <w:rPr>
          <w:rFonts w:ascii="Arial" w:hAnsi="Arial" w:cs="Arial"/>
        </w:rPr>
        <w:t>(</w:t>
      </w:r>
      <w:r w:rsidRPr="00172186">
        <w:rPr>
          <w:rFonts w:ascii="Arial" w:hAnsi="Arial" w:cs="Arial"/>
        </w:rPr>
        <w:t>2025</w:t>
      </w:r>
      <w:r w:rsidR="00B72D58" w:rsidRPr="00172186">
        <w:rPr>
          <w:rFonts w:ascii="Arial" w:hAnsi="Arial" w:cs="Arial"/>
        </w:rPr>
        <w:t>)</w:t>
      </w:r>
      <w:r w:rsidRPr="00172186">
        <w:rPr>
          <w:rFonts w:ascii="Arial" w:hAnsi="Arial" w:cs="Arial"/>
        </w:rPr>
        <w:t xml:space="preserve"> 85(16):1618-41.</w:t>
      </w:r>
      <w:r w:rsidR="00B72D58" w:rsidRPr="00172186">
        <w:rPr>
          <w:rFonts w:ascii="Arial" w:hAnsi="Arial" w:cs="Arial"/>
        </w:rPr>
        <w:t xml:space="preserve"> </w:t>
      </w:r>
      <w:proofErr w:type="spellStart"/>
      <w:r w:rsidR="00B72D58" w:rsidRPr="00172186">
        <w:rPr>
          <w:rFonts w:ascii="Arial" w:hAnsi="Arial" w:cs="Arial"/>
        </w:rPr>
        <w:t>doi</w:t>
      </w:r>
      <w:proofErr w:type="spellEnd"/>
      <w:r w:rsidR="00B72D58" w:rsidRPr="00172186">
        <w:rPr>
          <w:rFonts w:ascii="Arial" w:hAnsi="Arial" w:cs="Arial"/>
        </w:rPr>
        <w:t>: 10.1016/j.jacc.2025.02.018</w:t>
      </w:r>
    </w:p>
    <w:p w14:paraId="130686C9" w14:textId="11D141C1" w:rsidR="00BB2696" w:rsidRPr="00172186" w:rsidRDefault="00BB2696" w:rsidP="00DD54EB">
      <w:pPr>
        <w:pStyle w:val="ListParagraph"/>
        <w:numPr>
          <w:ilvl w:val="0"/>
          <w:numId w:val="1"/>
        </w:numPr>
        <w:rPr>
          <w:rFonts w:ascii="Arial" w:hAnsi="Arial" w:cs="Arial"/>
        </w:rPr>
      </w:pPr>
      <w:proofErr w:type="spellStart"/>
      <w:r w:rsidRPr="00172186">
        <w:rPr>
          <w:rFonts w:ascii="Arial" w:hAnsi="Arial" w:cs="Arial"/>
        </w:rPr>
        <w:t>Spelde</w:t>
      </w:r>
      <w:proofErr w:type="spellEnd"/>
      <w:r w:rsidR="00E50427" w:rsidRPr="00172186">
        <w:rPr>
          <w:rFonts w:ascii="Arial" w:hAnsi="Arial" w:cs="Arial"/>
        </w:rPr>
        <w:t xml:space="preserve"> </w:t>
      </w:r>
      <w:r w:rsidRPr="00172186">
        <w:rPr>
          <w:rFonts w:ascii="Arial" w:hAnsi="Arial" w:cs="Arial"/>
        </w:rPr>
        <w:t>AE</w:t>
      </w:r>
      <w:r w:rsidR="00E50427" w:rsidRPr="00172186">
        <w:rPr>
          <w:rFonts w:ascii="Arial" w:hAnsi="Arial" w:cs="Arial"/>
        </w:rPr>
        <w:t xml:space="preserve">, Barron LM, </w:t>
      </w:r>
      <w:proofErr w:type="spellStart"/>
      <w:r w:rsidR="00E50427" w:rsidRPr="00172186">
        <w:rPr>
          <w:rFonts w:ascii="Arial" w:hAnsi="Arial" w:cs="Arial"/>
        </w:rPr>
        <w:t>Cangut</w:t>
      </w:r>
      <w:proofErr w:type="spellEnd"/>
      <w:r w:rsidR="00E50427" w:rsidRPr="00172186">
        <w:rPr>
          <w:rFonts w:ascii="Arial" w:hAnsi="Arial" w:cs="Arial"/>
        </w:rPr>
        <w:t xml:space="preserve"> B, Hickey GW, Lorusso R, Silvestry SC</w:t>
      </w:r>
      <w:r w:rsidRPr="00172186">
        <w:rPr>
          <w:rFonts w:ascii="Arial" w:hAnsi="Arial" w:cs="Arial"/>
        </w:rPr>
        <w:t xml:space="preserve">, et al. Escalation and de-escalation of temporary mechanical circulatory support: joint consensus report of the </w:t>
      </w:r>
      <w:proofErr w:type="spellStart"/>
      <w:r w:rsidRPr="00172186">
        <w:rPr>
          <w:rFonts w:ascii="Arial" w:hAnsi="Arial" w:cs="Arial"/>
        </w:rPr>
        <w:t>PeriOperative</w:t>
      </w:r>
      <w:proofErr w:type="spellEnd"/>
      <w:r w:rsidRPr="00172186">
        <w:rPr>
          <w:rFonts w:ascii="Arial" w:hAnsi="Arial" w:cs="Arial"/>
        </w:rPr>
        <w:t xml:space="preserve"> Quality Initiative and the Enhanced Recovery After Surgery Cardiac Society. </w:t>
      </w:r>
      <w:r w:rsidRPr="00172186">
        <w:rPr>
          <w:rFonts w:ascii="Arial" w:hAnsi="Arial" w:cs="Arial"/>
          <w:i/>
          <w:iCs/>
        </w:rPr>
        <w:t xml:space="preserve">The Annals of </w:t>
      </w:r>
      <w:r w:rsidR="00E50427" w:rsidRPr="00172186">
        <w:rPr>
          <w:rFonts w:ascii="Arial" w:hAnsi="Arial" w:cs="Arial"/>
          <w:i/>
          <w:iCs/>
        </w:rPr>
        <w:t>T</w:t>
      </w:r>
      <w:r w:rsidRPr="00172186">
        <w:rPr>
          <w:rFonts w:ascii="Arial" w:hAnsi="Arial" w:cs="Arial"/>
          <w:i/>
          <w:iCs/>
        </w:rPr>
        <w:t xml:space="preserve">horacic </w:t>
      </w:r>
      <w:r w:rsidR="00E50427" w:rsidRPr="00172186">
        <w:rPr>
          <w:rFonts w:ascii="Arial" w:hAnsi="Arial" w:cs="Arial"/>
          <w:i/>
          <w:iCs/>
        </w:rPr>
        <w:t>S</w:t>
      </w:r>
      <w:r w:rsidRPr="00172186">
        <w:rPr>
          <w:rFonts w:ascii="Arial" w:hAnsi="Arial" w:cs="Arial"/>
          <w:i/>
          <w:iCs/>
        </w:rPr>
        <w:t>urgery</w:t>
      </w:r>
      <w:r w:rsidRPr="00172186">
        <w:rPr>
          <w:rFonts w:ascii="Arial" w:hAnsi="Arial" w:cs="Arial"/>
        </w:rPr>
        <w:t> 120.2 (2025): 213-224.</w:t>
      </w:r>
      <w:r w:rsidR="00E50427" w:rsidRPr="00172186">
        <w:rPr>
          <w:rFonts w:ascii="Arial" w:hAnsi="Arial" w:cs="Arial"/>
        </w:rPr>
        <w:t xml:space="preserve"> </w:t>
      </w:r>
      <w:proofErr w:type="spellStart"/>
      <w:r w:rsidR="00DD54EB" w:rsidRPr="00172186">
        <w:rPr>
          <w:rFonts w:ascii="Arial" w:hAnsi="Arial" w:cs="Arial"/>
        </w:rPr>
        <w:t>doi</w:t>
      </w:r>
      <w:proofErr w:type="spellEnd"/>
      <w:r w:rsidR="00DD54EB" w:rsidRPr="00172186">
        <w:rPr>
          <w:rFonts w:ascii="Arial" w:hAnsi="Arial" w:cs="Arial"/>
        </w:rPr>
        <w:t>: 10.1016/j.athoracsur.2025.01.038</w:t>
      </w:r>
    </w:p>
    <w:p w14:paraId="7C6D95C6" w14:textId="77777777" w:rsidR="00BB2696" w:rsidRPr="00172186" w:rsidRDefault="00BB2696" w:rsidP="00BB2696">
      <w:pPr>
        <w:pStyle w:val="ListParagraph"/>
        <w:numPr>
          <w:ilvl w:val="0"/>
          <w:numId w:val="1"/>
        </w:numPr>
        <w:spacing w:line="278" w:lineRule="auto"/>
        <w:rPr>
          <w:rFonts w:ascii="Arial" w:hAnsi="Arial" w:cs="Arial"/>
        </w:rPr>
      </w:pPr>
      <w:r w:rsidRPr="00172186">
        <w:rPr>
          <w:rFonts w:ascii="Arial" w:hAnsi="Arial" w:cs="Arial"/>
        </w:rPr>
        <w:t>Tehrani B, Truesdell AG, Sherwood MW, Desai S, Tran HA, Epps K, et al. Standardized team-based care for cardiogenic shock. </w:t>
      </w:r>
      <w:r w:rsidRPr="00172186">
        <w:rPr>
          <w:rFonts w:ascii="Arial" w:hAnsi="Arial" w:cs="Arial"/>
          <w:i/>
          <w:iCs/>
        </w:rPr>
        <w:t xml:space="preserve">J Am Coll </w:t>
      </w:r>
      <w:proofErr w:type="spellStart"/>
      <w:r w:rsidRPr="00172186">
        <w:rPr>
          <w:rFonts w:ascii="Arial" w:hAnsi="Arial" w:cs="Arial"/>
          <w:i/>
          <w:iCs/>
        </w:rPr>
        <w:t>Cardiol</w:t>
      </w:r>
      <w:proofErr w:type="spellEnd"/>
      <w:r w:rsidRPr="00172186">
        <w:rPr>
          <w:rFonts w:ascii="Arial" w:hAnsi="Arial" w:cs="Arial"/>
        </w:rPr>
        <w:t xml:space="preserve">. (2019) 73(13):1659–69. </w:t>
      </w:r>
      <w:proofErr w:type="spellStart"/>
      <w:r w:rsidRPr="00172186">
        <w:rPr>
          <w:rFonts w:ascii="Arial" w:hAnsi="Arial" w:cs="Arial"/>
        </w:rPr>
        <w:t>doi</w:t>
      </w:r>
      <w:proofErr w:type="spellEnd"/>
      <w:r w:rsidRPr="00172186">
        <w:rPr>
          <w:rFonts w:ascii="Arial" w:hAnsi="Arial" w:cs="Arial"/>
        </w:rPr>
        <w:t>: 10.1016/J.JACC.2018.12.084</w:t>
      </w:r>
    </w:p>
    <w:p w14:paraId="7C7D0AE0" w14:textId="5A8448F8" w:rsidR="00B43E3B" w:rsidRPr="00172186" w:rsidRDefault="00C4390B" w:rsidP="00484033">
      <w:pPr>
        <w:pStyle w:val="ListParagraph"/>
        <w:numPr>
          <w:ilvl w:val="0"/>
          <w:numId w:val="1"/>
        </w:numPr>
        <w:rPr>
          <w:rFonts w:ascii="Arial" w:hAnsi="Arial" w:cs="Arial"/>
        </w:rPr>
      </w:pPr>
      <w:r w:rsidRPr="00172186">
        <w:rPr>
          <w:rFonts w:ascii="Arial" w:hAnsi="Arial" w:cs="Arial"/>
        </w:rPr>
        <w:t xml:space="preserve">Webb JG, </w:t>
      </w:r>
      <w:r w:rsidR="0004607A" w:rsidRPr="00172186">
        <w:rPr>
          <w:rFonts w:ascii="Arial" w:hAnsi="Arial" w:cs="Arial"/>
        </w:rPr>
        <w:t>Sleeper LA, Buller MD, Boland J, Palazzo A, Buller</w:t>
      </w:r>
      <w:r w:rsidR="00352F24" w:rsidRPr="00172186">
        <w:rPr>
          <w:rFonts w:ascii="Arial" w:hAnsi="Arial" w:cs="Arial"/>
        </w:rPr>
        <w:t xml:space="preserve"> E, </w:t>
      </w:r>
      <w:r w:rsidRPr="00172186">
        <w:rPr>
          <w:rFonts w:ascii="Arial" w:hAnsi="Arial" w:cs="Arial"/>
        </w:rPr>
        <w:t xml:space="preserve">et al. Implications of the </w:t>
      </w:r>
      <w:proofErr w:type="gramStart"/>
      <w:r w:rsidRPr="00172186">
        <w:rPr>
          <w:rFonts w:ascii="Arial" w:hAnsi="Arial" w:cs="Arial"/>
        </w:rPr>
        <w:t>timing of onset</w:t>
      </w:r>
      <w:proofErr w:type="gramEnd"/>
      <w:r w:rsidRPr="00172186">
        <w:rPr>
          <w:rFonts w:ascii="Arial" w:hAnsi="Arial" w:cs="Arial"/>
        </w:rPr>
        <w:t xml:space="preserve"> of cardiogenic shock after acute myocardial infarction: a report from the SHOCK Trial Registry. </w:t>
      </w:r>
      <w:r w:rsidRPr="00172186">
        <w:rPr>
          <w:rFonts w:ascii="Arial" w:hAnsi="Arial" w:cs="Arial"/>
          <w:i/>
          <w:iCs/>
        </w:rPr>
        <w:t>J</w:t>
      </w:r>
      <w:r w:rsidR="00352F24" w:rsidRPr="00172186">
        <w:rPr>
          <w:rFonts w:ascii="Arial" w:hAnsi="Arial" w:cs="Arial"/>
          <w:i/>
          <w:iCs/>
        </w:rPr>
        <w:t xml:space="preserve"> Am Coll </w:t>
      </w:r>
      <w:proofErr w:type="spellStart"/>
      <w:r w:rsidR="00352F24" w:rsidRPr="00172186">
        <w:rPr>
          <w:rFonts w:ascii="Arial" w:hAnsi="Arial" w:cs="Arial"/>
          <w:i/>
          <w:iCs/>
        </w:rPr>
        <w:t>Cardiol</w:t>
      </w:r>
      <w:proofErr w:type="spellEnd"/>
      <w:r w:rsidR="00352F24" w:rsidRPr="00172186">
        <w:rPr>
          <w:rFonts w:ascii="Arial" w:hAnsi="Arial" w:cs="Arial"/>
          <w:i/>
          <w:iCs/>
        </w:rPr>
        <w:t xml:space="preserve">. </w:t>
      </w:r>
      <w:r w:rsidRPr="00172186">
        <w:rPr>
          <w:rFonts w:ascii="Arial" w:hAnsi="Arial" w:cs="Arial"/>
        </w:rPr>
        <w:t>(2000)</w:t>
      </w:r>
      <w:r w:rsidR="00953C1F" w:rsidRPr="00172186">
        <w:rPr>
          <w:rFonts w:ascii="Arial" w:hAnsi="Arial" w:cs="Arial"/>
        </w:rPr>
        <w:t xml:space="preserve"> 36.3S1:</w:t>
      </w:r>
      <w:r w:rsidRPr="00172186">
        <w:rPr>
          <w:rFonts w:ascii="Arial" w:hAnsi="Arial" w:cs="Arial"/>
        </w:rPr>
        <w:t>1084-1090.</w:t>
      </w:r>
      <w:r w:rsidR="00484033" w:rsidRPr="00172186">
        <w:rPr>
          <w:rFonts w:ascii="Arial" w:hAnsi="Arial" w:cs="Arial"/>
        </w:rPr>
        <w:t xml:space="preserve"> </w:t>
      </w:r>
      <w:proofErr w:type="spellStart"/>
      <w:r w:rsidR="00484033" w:rsidRPr="00172186">
        <w:rPr>
          <w:rFonts w:ascii="Arial" w:hAnsi="Arial" w:cs="Arial"/>
        </w:rPr>
        <w:t>doi</w:t>
      </w:r>
      <w:proofErr w:type="spellEnd"/>
      <w:r w:rsidR="00484033" w:rsidRPr="00172186">
        <w:rPr>
          <w:rFonts w:ascii="Arial" w:hAnsi="Arial" w:cs="Arial"/>
        </w:rPr>
        <w:t>: 10.1016/s0735-1097(00)00876-7</w:t>
      </w:r>
    </w:p>
    <w:sectPr w:rsidR="00B43E3B" w:rsidRPr="00172186" w:rsidSect="0017218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4C0E" w14:textId="77777777" w:rsidR="00262385" w:rsidRDefault="00262385" w:rsidP="00172186">
      <w:pPr>
        <w:spacing w:after="0" w:line="240" w:lineRule="auto"/>
      </w:pPr>
      <w:r>
        <w:separator/>
      </w:r>
    </w:p>
  </w:endnote>
  <w:endnote w:type="continuationSeparator" w:id="0">
    <w:p w14:paraId="4D504E2B" w14:textId="77777777" w:rsidR="00262385" w:rsidRDefault="00262385" w:rsidP="0017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C892" w14:textId="10B2F9D8" w:rsidR="00172186" w:rsidRDefault="00202C3B">
    <w:pPr>
      <w:pStyle w:val="Footer"/>
    </w:pPr>
    <w:r>
      <w:rPr>
        <w:noProof/>
      </w:rPr>
      <w:drawing>
        <wp:inline distT="0" distB="0" distL="0" distR="0" wp14:anchorId="3D27921C" wp14:editId="66409C89">
          <wp:extent cx="5943600" cy="483870"/>
          <wp:effectExtent l="0" t="0" r="0" b="0"/>
          <wp:docPr id="747894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94891" name="Picture 747894891"/>
                  <pic:cNvPicPr/>
                </pic:nvPicPr>
                <pic:blipFill>
                  <a:blip r:embed="rId1">
                    <a:extLst>
                      <a:ext uri="{28A0092B-C50C-407E-A947-70E740481C1C}">
                        <a14:useLocalDpi xmlns:a14="http://schemas.microsoft.com/office/drawing/2010/main" val="0"/>
                      </a:ext>
                    </a:extLst>
                  </a:blip>
                  <a:stretch>
                    <a:fillRect/>
                  </a:stretch>
                </pic:blipFill>
                <pic:spPr>
                  <a:xfrm>
                    <a:off x="0" y="0"/>
                    <a:ext cx="5943600" cy="48387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A05E" w14:textId="5B35BF9E" w:rsidR="00172186" w:rsidRDefault="00202C3B">
    <w:pPr>
      <w:pStyle w:val="Footer"/>
    </w:pPr>
    <w:r>
      <w:rPr>
        <w:noProof/>
      </w:rPr>
      <w:drawing>
        <wp:inline distT="0" distB="0" distL="0" distR="0" wp14:anchorId="3804F6C0" wp14:editId="5854C8A7">
          <wp:extent cx="5943600" cy="483870"/>
          <wp:effectExtent l="0" t="0" r="0" b="0"/>
          <wp:docPr id="66733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3000" name="Picture 66733000"/>
                  <pic:cNvPicPr/>
                </pic:nvPicPr>
                <pic:blipFill>
                  <a:blip r:embed="rId1">
                    <a:extLst>
                      <a:ext uri="{28A0092B-C50C-407E-A947-70E740481C1C}">
                        <a14:useLocalDpi xmlns:a14="http://schemas.microsoft.com/office/drawing/2010/main" val="0"/>
                      </a:ext>
                    </a:extLst>
                  </a:blip>
                  <a:stretch>
                    <a:fillRect/>
                  </a:stretch>
                </pic:blipFill>
                <pic:spPr>
                  <a:xfrm>
                    <a:off x="0" y="0"/>
                    <a:ext cx="5943600" cy="4838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4312" w14:textId="77777777" w:rsidR="00262385" w:rsidRDefault="00262385" w:rsidP="00172186">
      <w:pPr>
        <w:spacing w:after="0" w:line="240" w:lineRule="auto"/>
      </w:pPr>
      <w:r>
        <w:separator/>
      </w:r>
    </w:p>
  </w:footnote>
  <w:footnote w:type="continuationSeparator" w:id="0">
    <w:p w14:paraId="47E86E7A" w14:textId="77777777" w:rsidR="00262385" w:rsidRDefault="00262385" w:rsidP="00172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AD2F" w14:textId="62577D15" w:rsidR="00172186" w:rsidRDefault="00172186">
    <w:pPr>
      <w:pStyle w:val="Header"/>
    </w:pPr>
    <w:r>
      <w:rPr>
        <w:noProof/>
      </w:rPr>
      <w:drawing>
        <wp:inline distT="0" distB="0" distL="0" distR="0" wp14:anchorId="51667DBF" wp14:editId="525BFF87">
          <wp:extent cx="5943600" cy="1547495"/>
          <wp:effectExtent l="0" t="0" r="0" b="0"/>
          <wp:docPr id="881345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45120" name="Picture 881345120"/>
                  <pic:cNvPicPr/>
                </pic:nvPicPr>
                <pic:blipFill>
                  <a:blip r:embed="rId1">
                    <a:extLst>
                      <a:ext uri="{28A0092B-C50C-407E-A947-70E740481C1C}">
                        <a14:useLocalDpi xmlns:a14="http://schemas.microsoft.com/office/drawing/2010/main" val="0"/>
                      </a:ext>
                    </a:extLst>
                  </a:blip>
                  <a:stretch>
                    <a:fillRect/>
                  </a:stretch>
                </pic:blipFill>
                <pic:spPr>
                  <a:xfrm>
                    <a:off x="0" y="0"/>
                    <a:ext cx="5943600" cy="1547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B20A9"/>
    <w:multiLevelType w:val="hybridMultilevel"/>
    <w:tmpl w:val="E91EB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882617"/>
    <w:multiLevelType w:val="hybridMultilevel"/>
    <w:tmpl w:val="F64E9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E84057"/>
    <w:multiLevelType w:val="hybridMultilevel"/>
    <w:tmpl w:val="E5743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6903269">
    <w:abstractNumId w:val="0"/>
  </w:num>
  <w:num w:numId="2" w16cid:durableId="1849826221">
    <w:abstractNumId w:val="2"/>
  </w:num>
  <w:num w:numId="3" w16cid:durableId="214779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formatting="1" w:enforcement="1" w:cryptProviderType="rsaAES" w:cryptAlgorithmClass="hash" w:cryptAlgorithmType="typeAny" w:cryptAlgorithmSid="14" w:cryptSpinCount="100000" w:hash="6jYKQlhsyskV41e83QYnYmu2qUnLrUEoBr3csh7Bn3FAHT8hNiIU5/CMw7neIobfGeQ+6oyoToNjAOOfxVJQ1A==" w:salt="MUXT7YRkL8Kto5Gk9C8QF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96"/>
    <w:rsid w:val="0004607A"/>
    <w:rsid w:val="0007124D"/>
    <w:rsid w:val="000C5BA1"/>
    <w:rsid w:val="000F19F9"/>
    <w:rsid w:val="00134E49"/>
    <w:rsid w:val="00172186"/>
    <w:rsid w:val="001B07A0"/>
    <w:rsid w:val="00202C3B"/>
    <w:rsid w:val="00262385"/>
    <w:rsid w:val="00271865"/>
    <w:rsid w:val="002D422D"/>
    <w:rsid w:val="00337B25"/>
    <w:rsid w:val="00352F24"/>
    <w:rsid w:val="00431231"/>
    <w:rsid w:val="00465D49"/>
    <w:rsid w:val="00484033"/>
    <w:rsid w:val="005956BB"/>
    <w:rsid w:val="00614725"/>
    <w:rsid w:val="00665A41"/>
    <w:rsid w:val="007047CB"/>
    <w:rsid w:val="007B04E9"/>
    <w:rsid w:val="007F0732"/>
    <w:rsid w:val="00877512"/>
    <w:rsid w:val="00953C1F"/>
    <w:rsid w:val="00980741"/>
    <w:rsid w:val="009F2DD5"/>
    <w:rsid w:val="00A27D35"/>
    <w:rsid w:val="00AC1C2A"/>
    <w:rsid w:val="00AF4F3B"/>
    <w:rsid w:val="00B43E3B"/>
    <w:rsid w:val="00B707DC"/>
    <w:rsid w:val="00B72D58"/>
    <w:rsid w:val="00B95F8A"/>
    <w:rsid w:val="00BA248A"/>
    <w:rsid w:val="00BB2696"/>
    <w:rsid w:val="00BB2E3E"/>
    <w:rsid w:val="00BC5B35"/>
    <w:rsid w:val="00C169C2"/>
    <w:rsid w:val="00C4390B"/>
    <w:rsid w:val="00C705AD"/>
    <w:rsid w:val="00D0495A"/>
    <w:rsid w:val="00D45F04"/>
    <w:rsid w:val="00DD54EB"/>
    <w:rsid w:val="00E50427"/>
    <w:rsid w:val="00E75CD6"/>
    <w:rsid w:val="00EA6A26"/>
    <w:rsid w:val="00FE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6249A"/>
  <w15:chartTrackingRefBased/>
  <w15:docId w15:val="{AEEEDBC9-86C1-4DB9-B83B-2217330A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24D"/>
    <w:pPr>
      <w:keepNext/>
      <w:keepLines/>
      <w:spacing w:before="360" w:after="80"/>
      <w:outlineLvl w:val="0"/>
    </w:pPr>
    <w:rPr>
      <w:rFonts w:ascii="Arial" w:eastAsiaTheme="majorEastAsia" w:hAnsi="Arial" w:cstheme="majorBidi"/>
      <w:color w:val="2B398B"/>
      <w:sz w:val="40"/>
      <w:szCs w:val="40"/>
      <w:u w:val="single"/>
    </w:rPr>
  </w:style>
  <w:style w:type="paragraph" w:styleId="Heading2">
    <w:name w:val="heading 2"/>
    <w:basedOn w:val="Normal"/>
    <w:next w:val="Normal"/>
    <w:link w:val="Heading2Char"/>
    <w:uiPriority w:val="9"/>
    <w:unhideWhenUsed/>
    <w:qFormat/>
    <w:rsid w:val="0007124D"/>
    <w:pPr>
      <w:keepNext/>
      <w:keepLines/>
      <w:spacing w:before="160" w:after="80"/>
      <w:outlineLvl w:val="1"/>
    </w:pPr>
    <w:rPr>
      <w:rFonts w:ascii="Arial" w:eastAsiaTheme="majorEastAsia" w:hAnsi="Arial" w:cstheme="majorBidi"/>
      <w:color w:val="2B398B"/>
      <w:sz w:val="32"/>
      <w:szCs w:val="32"/>
    </w:rPr>
  </w:style>
  <w:style w:type="paragraph" w:styleId="Heading3">
    <w:name w:val="heading 3"/>
    <w:basedOn w:val="Normal"/>
    <w:next w:val="Normal"/>
    <w:link w:val="Heading3Char"/>
    <w:uiPriority w:val="9"/>
    <w:unhideWhenUsed/>
    <w:qFormat/>
    <w:rsid w:val="00BB2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24D"/>
    <w:rPr>
      <w:rFonts w:ascii="Arial" w:eastAsiaTheme="majorEastAsia" w:hAnsi="Arial" w:cstheme="majorBidi"/>
      <w:color w:val="2B398B"/>
      <w:sz w:val="40"/>
      <w:szCs w:val="40"/>
      <w:u w:val="single"/>
    </w:rPr>
  </w:style>
  <w:style w:type="character" w:customStyle="1" w:styleId="Heading2Char">
    <w:name w:val="Heading 2 Char"/>
    <w:basedOn w:val="DefaultParagraphFont"/>
    <w:link w:val="Heading2"/>
    <w:uiPriority w:val="9"/>
    <w:rsid w:val="0007124D"/>
    <w:rPr>
      <w:rFonts w:ascii="Arial" w:eastAsiaTheme="majorEastAsia" w:hAnsi="Arial" w:cstheme="majorBidi"/>
      <w:color w:val="2B398B"/>
      <w:sz w:val="32"/>
      <w:szCs w:val="32"/>
    </w:rPr>
  </w:style>
  <w:style w:type="character" w:customStyle="1" w:styleId="Heading3Char">
    <w:name w:val="Heading 3 Char"/>
    <w:basedOn w:val="DefaultParagraphFont"/>
    <w:link w:val="Heading3"/>
    <w:uiPriority w:val="9"/>
    <w:rsid w:val="00BB2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696"/>
    <w:rPr>
      <w:rFonts w:eastAsiaTheme="majorEastAsia" w:cstheme="majorBidi"/>
      <w:color w:val="272727" w:themeColor="text1" w:themeTint="D8"/>
    </w:rPr>
  </w:style>
  <w:style w:type="paragraph" w:styleId="Title">
    <w:name w:val="Title"/>
    <w:basedOn w:val="Normal"/>
    <w:next w:val="Normal"/>
    <w:link w:val="TitleChar"/>
    <w:uiPriority w:val="10"/>
    <w:qFormat/>
    <w:rsid w:val="00E75CD6"/>
    <w:pPr>
      <w:spacing w:after="80" w:line="240" w:lineRule="auto"/>
      <w:contextualSpacing/>
    </w:pPr>
    <w:rPr>
      <w:rFonts w:ascii="Arial" w:eastAsiaTheme="majorEastAsia" w:hAnsi="Arial" w:cstheme="majorBidi"/>
      <w:color w:val="2B398B"/>
      <w:spacing w:val="-10"/>
      <w:kern w:val="28"/>
      <w:sz w:val="44"/>
      <w:szCs w:val="56"/>
    </w:rPr>
  </w:style>
  <w:style w:type="character" w:customStyle="1" w:styleId="TitleChar">
    <w:name w:val="Title Char"/>
    <w:basedOn w:val="DefaultParagraphFont"/>
    <w:link w:val="Title"/>
    <w:uiPriority w:val="10"/>
    <w:rsid w:val="00E75CD6"/>
    <w:rPr>
      <w:rFonts w:ascii="Arial" w:eastAsiaTheme="majorEastAsia" w:hAnsi="Arial" w:cstheme="majorBidi"/>
      <w:color w:val="2B398B"/>
      <w:spacing w:val="-10"/>
      <w:kern w:val="28"/>
      <w:sz w:val="44"/>
      <w:szCs w:val="56"/>
    </w:rPr>
  </w:style>
  <w:style w:type="paragraph" w:styleId="Subtitle">
    <w:name w:val="Subtitle"/>
    <w:basedOn w:val="Normal"/>
    <w:next w:val="Normal"/>
    <w:link w:val="SubtitleChar"/>
    <w:uiPriority w:val="11"/>
    <w:qFormat/>
    <w:rsid w:val="00E75CD6"/>
    <w:pPr>
      <w:numPr>
        <w:ilvl w:val="1"/>
      </w:numPr>
    </w:pPr>
    <w:rPr>
      <w:rFonts w:ascii="Arial" w:eastAsiaTheme="majorEastAsia" w:hAnsi="Arial"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CD6"/>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BB2696"/>
    <w:pPr>
      <w:spacing w:before="160"/>
      <w:jc w:val="center"/>
    </w:pPr>
    <w:rPr>
      <w:i/>
      <w:iCs/>
      <w:color w:val="404040" w:themeColor="text1" w:themeTint="BF"/>
    </w:rPr>
  </w:style>
  <w:style w:type="character" w:customStyle="1" w:styleId="QuoteChar">
    <w:name w:val="Quote Char"/>
    <w:basedOn w:val="DefaultParagraphFont"/>
    <w:link w:val="Quote"/>
    <w:uiPriority w:val="29"/>
    <w:rsid w:val="00BB2696"/>
    <w:rPr>
      <w:i/>
      <w:iCs/>
      <w:color w:val="404040" w:themeColor="text1" w:themeTint="BF"/>
    </w:rPr>
  </w:style>
  <w:style w:type="paragraph" w:styleId="ListParagraph">
    <w:name w:val="List Paragraph"/>
    <w:basedOn w:val="Normal"/>
    <w:uiPriority w:val="34"/>
    <w:qFormat/>
    <w:rsid w:val="00BB2696"/>
    <w:pPr>
      <w:ind w:left="720"/>
      <w:contextualSpacing/>
    </w:pPr>
  </w:style>
  <w:style w:type="character" w:styleId="IntenseEmphasis">
    <w:name w:val="Intense Emphasis"/>
    <w:basedOn w:val="DefaultParagraphFont"/>
    <w:uiPriority w:val="21"/>
    <w:qFormat/>
    <w:rsid w:val="00BB2696"/>
    <w:rPr>
      <w:i/>
      <w:iCs/>
      <w:color w:val="0F4761" w:themeColor="accent1" w:themeShade="BF"/>
    </w:rPr>
  </w:style>
  <w:style w:type="paragraph" w:styleId="IntenseQuote">
    <w:name w:val="Intense Quote"/>
    <w:basedOn w:val="Normal"/>
    <w:next w:val="Normal"/>
    <w:link w:val="IntenseQuoteChar"/>
    <w:uiPriority w:val="30"/>
    <w:qFormat/>
    <w:rsid w:val="00BB2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696"/>
    <w:rPr>
      <w:i/>
      <w:iCs/>
      <w:color w:val="0F4761" w:themeColor="accent1" w:themeShade="BF"/>
    </w:rPr>
  </w:style>
  <w:style w:type="character" w:styleId="IntenseReference">
    <w:name w:val="Intense Reference"/>
    <w:basedOn w:val="DefaultParagraphFont"/>
    <w:uiPriority w:val="32"/>
    <w:qFormat/>
    <w:rsid w:val="00BB2696"/>
    <w:rPr>
      <w:b/>
      <w:bCs/>
      <w:smallCaps/>
      <w:color w:val="0F4761" w:themeColor="accent1" w:themeShade="BF"/>
      <w:spacing w:val="5"/>
    </w:rPr>
  </w:style>
  <w:style w:type="character" w:styleId="Hyperlink">
    <w:name w:val="Hyperlink"/>
    <w:basedOn w:val="DefaultParagraphFont"/>
    <w:uiPriority w:val="99"/>
    <w:unhideWhenUsed/>
    <w:rsid w:val="00BB2696"/>
    <w:rPr>
      <w:color w:val="467886" w:themeColor="hyperlink"/>
      <w:u w:val="single"/>
    </w:rPr>
  </w:style>
  <w:style w:type="character" w:styleId="CommentReference">
    <w:name w:val="annotation reference"/>
    <w:basedOn w:val="DefaultParagraphFont"/>
    <w:uiPriority w:val="99"/>
    <w:semiHidden/>
    <w:unhideWhenUsed/>
    <w:rsid w:val="00BB2696"/>
    <w:rPr>
      <w:sz w:val="16"/>
      <w:szCs w:val="16"/>
    </w:rPr>
  </w:style>
  <w:style w:type="paragraph" w:styleId="Header">
    <w:name w:val="header"/>
    <w:basedOn w:val="Normal"/>
    <w:link w:val="HeaderChar"/>
    <w:uiPriority w:val="99"/>
    <w:unhideWhenUsed/>
    <w:rsid w:val="00172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186"/>
  </w:style>
  <w:style w:type="paragraph" w:styleId="Footer">
    <w:name w:val="footer"/>
    <w:basedOn w:val="Normal"/>
    <w:link w:val="FooterChar"/>
    <w:uiPriority w:val="99"/>
    <w:unhideWhenUsed/>
    <w:rsid w:val="00172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186"/>
  </w:style>
  <w:style w:type="paragraph" w:customStyle="1" w:styleId="BMC2Heading3">
    <w:name w:val="BMC2 Heading 3"/>
    <w:basedOn w:val="Heading3"/>
    <w:link w:val="BMC2Heading3Char"/>
    <w:qFormat/>
    <w:rsid w:val="00271865"/>
    <w:rPr>
      <w:rFonts w:ascii="Arial" w:hAnsi="Arial"/>
      <w:color w:val="2B398B"/>
    </w:rPr>
  </w:style>
  <w:style w:type="character" w:customStyle="1" w:styleId="BMC2Heading3Char">
    <w:name w:val="BMC2 Heading 3 Char"/>
    <w:basedOn w:val="Heading3Char"/>
    <w:link w:val="BMC2Heading3"/>
    <w:rsid w:val="00271865"/>
    <w:rPr>
      <w:rFonts w:ascii="Arial" w:eastAsiaTheme="majorEastAsia" w:hAnsi="Arial" w:cstheme="majorBidi"/>
      <w:color w:val="2B398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1400</Words>
  <Characters>7982</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Michigan Medicine</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Cantey, Eric</dc:creator>
  <cp:keywords/>
  <dc:description/>
  <cp:lastModifiedBy>Horn, Elizabeth</cp:lastModifiedBy>
  <cp:revision>3</cp:revision>
  <dcterms:created xsi:type="dcterms:W3CDTF">2026-08-17T15:06:00Z</dcterms:created>
  <dcterms:modified xsi:type="dcterms:W3CDTF">2026-08-17T15:07:00Z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966047dd-d3f7-4a69-9c2b-2ec089d8ffe8</vt:lpwstr>
  </property>
</Properties>
</file>